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46DC">
      <w:pPr>
        <w:pStyle w:val="2"/>
        <w:ind w:left="1053"/>
        <w:rPr>
          <w:sz w:val="20"/>
        </w:rPr>
      </w:pPr>
    </w:p>
    <w:p w14:paraId="227B1EC5">
      <w:pPr>
        <w:ind w:right="-537" w:rightChars="-244"/>
        <w:jc w:val="center"/>
        <w:rPr>
          <w:rFonts w:ascii="方正小标宋简体" w:eastAsia="方正小标宋简体" w:cs="楷体_GB2312" w:hAnsiTheme="minorEastAsia"/>
          <w:sz w:val="44"/>
          <w:szCs w:val="44"/>
        </w:rPr>
      </w:pPr>
      <w:r>
        <w:rPr>
          <w:rFonts w:hint="eastAsia" w:ascii="方正小标宋简体" w:eastAsia="方正小标宋简体" w:cs="楷体_GB2312" w:hAnsiTheme="minorEastAsia"/>
          <w:sz w:val="44"/>
          <w:szCs w:val="44"/>
        </w:rPr>
        <w:t>区情概览</w:t>
      </w:r>
    </w:p>
    <w:p w14:paraId="10352407">
      <w:pPr>
        <w:jc w:val="center"/>
        <w:rPr>
          <w:rFonts w:ascii="幼圆" w:eastAsia="幼圆" w:hAnsiTheme="minorEastAsia"/>
          <w:b/>
          <w:sz w:val="32"/>
          <w:szCs w:val="32"/>
        </w:rPr>
      </w:pPr>
      <w:r>
        <w:rPr>
          <w:rFonts w:hint="eastAsia" w:ascii="幼圆" w:eastAsia="幼圆" w:hAnsiTheme="minorEastAsia"/>
          <w:b/>
          <w:sz w:val="32"/>
          <w:szCs w:val="32"/>
        </w:rPr>
        <w:t>自然地理</w:t>
      </w:r>
    </w:p>
    <w:p w14:paraId="50588AA5">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地理位置</w:t>
      </w:r>
      <w:r>
        <w:rPr>
          <w:rFonts w:hint="eastAsia" w:asciiTheme="minorEastAsia" w:hAnsiTheme="minorEastAsia" w:eastAsiaTheme="minorEastAsia"/>
          <w:sz w:val="28"/>
          <w:szCs w:val="28"/>
          <w:lang w:eastAsia="zh-CN"/>
        </w:rPr>
        <w:t>】　滨海新区位于天津东部沿海地区，地处环渤海经济带和京津冀城市群的交会点，是亚欧大陆桥最近的东部起点。东临渤海湾，西与天津市东丽区接壤，南与河北省黄骅市为邻，北与天津市宁河区、河北省唐山市丰南区相邻。地理坐标北纬38°40′～ 39°00′，东经117°20′～118°00′，南北长，东西窄，呈弯弓状。行政区划面积2270平方千米，海岸线153千米。天津港通达全球400多个港湾，是东、中亚内陆国家重要的出海口。天津滨海国际机场连接国内外30多个世界名城。</w:t>
      </w:r>
    </w:p>
    <w:p w14:paraId="68FCB045">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19B4AC29">
      <w:pPr>
        <w:pStyle w:val="2"/>
        <w:rPr>
          <w:rFonts w:asciiTheme="minorEastAsia" w:hAnsiTheme="minorEastAsia" w:eastAsiaTheme="minorEastAsia"/>
          <w:sz w:val="28"/>
          <w:szCs w:val="28"/>
          <w:lang w:eastAsia="zh-CN"/>
        </w:rPr>
      </w:pPr>
    </w:p>
    <w:p w14:paraId="4A869E52">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地质</w:t>
      </w:r>
      <w:r>
        <w:rPr>
          <w:rFonts w:hint="eastAsia" w:asciiTheme="minorEastAsia" w:hAnsiTheme="minorEastAsia" w:eastAsiaTheme="minorEastAsia"/>
          <w:sz w:val="28"/>
          <w:szCs w:val="28"/>
          <w:lang w:eastAsia="zh-CN"/>
        </w:rPr>
        <w:t>】　滨海新区地质发展逾30亿年，历经地台基底形成、地台盖层发育和大陆边缘活动带三个阶段，形成今北部基岩浅埋至裸露、南部基岩深埋且坳隆相间、断裂发育的地质构造格局。滨海地区位于其南部深埋区黄骅坳陷区内。主要构造单元有宁河凸起、北塘凹陷、板桥凹陷、歧口凹陷，构造单元之间主要断裂有北北东向的沧东断裂带和北东东向的北大港断裂带及北西西向的海河断裂、汉沽断裂、增福台断裂带等。</w:t>
      </w:r>
    </w:p>
    <w:p w14:paraId="7DAA753B">
      <w:pPr>
        <w:pStyle w:val="2"/>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滨海地区新生代构造活动特点表现在古新世至渐新世时期，以大陆边缘活动带为主，基底断裂、生长断裂发育。中新世至上新世时期，盆地扩张微弱，火山活动减弱，区域活动性断层转至海上，仅在少数活动性较强的断裂交织点局部有小规模岩浆侵入与喷发，陆地内部断层活动微弱，包括黄骅坳陷的边界断裂——沧东断裂活动量也较微弱，显示出凹陷盆地构造特征。第四纪在继承上新世整体沉陷基础上，断裂和地震活动发育，渤海湾的打开与形成约在早至中更新世，古永定河、古黄河约在晚更新世形成。</w:t>
      </w:r>
    </w:p>
    <w:p w14:paraId="259B2324">
      <w:pPr>
        <w:pStyle w:val="2"/>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滨海地区主要分布于黄骅坳陷属中、新生代断陷，坳陷沉积盆地，基岩顶板以中生界为主，其次为古生界，顶板埋深1400米～7000米，与上伏地层成角度不整合接触。中生代末断陷活动强烈，使滨海地区新生代沉积成为巨厚的、以砂岩与泥岩为主的不等厚互层的堆积物，除缺失古新统外，自始新统至第四系均较发育，自下而上地层为 ：古近系的孔店组、沙河街组、东营组，新近系的馆陶组、明化镇组，第四系平原组，地层总体有由西向东加深、加厚趋势。</w:t>
      </w:r>
    </w:p>
    <w:p w14:paraId="3FD21D4E">
      <w:pPr>
        <w:pStyle w:val="2"/>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黄骅坳陷西南段狭窄，东北段开阔，系近海陆相湖盆。新生代以来经历的不同构造阶段控制着沉积相的演变。块断初期（孔店组沉积期），由于盆地北翘南倾，孔店组主要分布在南部。地层主要由盐湖冲积扇沉积体组成，反映古气候干燥炎热。强烈沉降与湖盆扩张期（沙河街组沉积期），盆地以沉降为主，自沙三段开始，盆地内数个次级凹陷水域逐渐连通，到沙一段时期，盆地水域达到最大范围。沉积形成一套暗色砂泥岩互层。湖盆收缩期（东营组沉积期），渐新世末，由于区域构造隆升，东营组沉积环境基本处于黄骅坳陷湖盆萎缩时期，以砂、泥岩为主，分布稳定，化石丰富，为湖湾沉积环境。河流沉积环境（馆陶组——明化镇组沉积期），渐新世末，盆地断陷活动基本结束，湖盆萎缩，经历长期侵蚀和准平原化，盆地整体下沉，辫状河、高弯度曲流河发育，建造以砂泥岩为主体，厚度较大，旋回性强，范围广的新近系沉积。冲积—海积沉积（第四系沉积期），全新世为一套松散堆积层，其岩性组合和生物化石组合特征及其变化反映黄骅坳陷全新世以来沉积环境由滨海—近岸浅海至河口湾、渴湖、滨海平原再至冲积平原的演变。</w:t>
      </w:r>
    </w:p>
    <w:p w14:paraId="1E8EFC02">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76EC6D22">
      <w:pPr>
        <w:pStyle w:val="2"/>
        <w:jc w:val="right"/>
        <w:rPr>
          <w:rFonts w:ascii="楷体" w:hAnsi="楷体" w:eastAsia="楷体"/>
          <w:sz w:val="28"/>
          <w:szCs w:val="28"/>
          <w:lang w:eastAsia="zh-CN"/>
        </w:rPr>
      </w:pPr>
    </w:p>
    <w:p w14:paraId="026E0B61">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地貌</w:t>
      </w:r>
      <w:r>
        <w:rPr>
          <w:rFonts w:hint="eastAsia" w:asciiTheme="minorEastAsia" w:hAnsiTheme="minorEastAsia" w:eastAsiaTheme="minorEastAsia"/>
          <w:sz w:val="28"/>
          <w:szCs w:val="28"/>
          <w:lang w:eastAsia="zh-CN"/>
        </w:rPr>
        <w:t>】　滨海地区原为大海。北宋庆历八年（1048）至南宋建炎二年（1128），黄河发生三次经天津入海的北徙改道，行水62年。其河水每年向海输送泥沙约12亿吨，将海岸线向海中推进约25千米。加之海水潮汐近千年冲刷，渐成典型堆积平原为特征的地貌，面积2256.49平方千米。堆积平原分海积冲积低平原和海积低平原区，地面海拔（大沽高程）小于5米，总体地势低平，微向海倾斜，由西向东增厚。区内多潟湖、洼淀湿地、残留故道、盐滩沼泽，临海地区土壤盐渍化严重。由东向西，大致环渤海西岸分布的三条贝壳堤为海退遗迹，系世界著名三大贝壳堤之一，在国际海洋、第四纪地质、古气候、古环境研究领域中占重要地位。</w:t>
      </w:r>
    </w:p>
    <w:p w14:paraId="4BFCAE1A">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D50434F">
      <w:pPr>
        <w:pStyle w:val="2"/>
        <w:jc w:val="right"/>
        <w:rPr>
          <w:rFonts w:ascii="楷体" w:hAnsi="楷体" w:eastAsia="楷体"/>
          <w:sz w:val="28"/>
          <w:szCs w:val="28"/>
          <w:lang w:eastAsia="zh-CN"/>
        </w:rPr>
      </w:pPr>
    </w:p>
    <w:p w14:paraId="57360212">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气候】</w:t>
      </w:r>
      <w:r>
        <w:rPr>
          <w:rFonts w:hint="eastAsia" w:asciiTheme="minorEastAsia" w:hAnsiTheme="minorEastAsia" w:eastAsiaTheme="minorEastAsia"/>
          <w:sz w:val="28"/>
          <w:szCs w:val="28"/>
          <w:lang w:eastAsia="zh-CN"/>
        </w:rPr>
        <w:t>　滨海地区位于北半球中纬度亚欧大陆东岸，属暖温带半湿润半干旱季风型大陆性气候，兼有海洋气候特征。冬季受蒙古冷高压前部控制，盛行西北风；夏季主要受西北太平洋副热带高压西侧影响，多偏南风。季节变化明显，春季干旱多风、冷暖多变；夏季高温多雨、水热共济；秋季天高云淡、风和日丽；冬季寒冷干燥、雨雪稀少。</w:t>
      </w:r>
    </w:p>
    <w:p w14:paraId="2E232BBB">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E857E6C">
      <w:pPr>
        <w:pStyle w:val="2"/>
        <w:jc w:val="right"/>
        <w:rPr>
          <w:rFonts w:ascii="楷体" w:hAnsi="楷体" w:eastAsia="楷体"/>
          <w:sz w:val="28"/>
          <w:szCs w:val="28"/>
          <w:lang w:eastAsia="zh-CN"/>
        </w:rPr>
      </w:pPr>
    </w:p>
    <w:p w14:paraId="46CF023B">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自然灾害</w:t>
      </w:r>
      <w:r>
        <w:rPr>
          <w:rFonts w:hint="eastAsia" w:asciiTheme="minorEastAsia" w:hAnsiTheme="minorEastAsia" w:eastAsiaTheme="minorEastAsia"/>
          <w:sz w:val="28"/>
          <w:szCs w:val="28"/>
          <w:lang w:eastAsia="zh-CN"/>
        </w:rPr>
        <w:t>】　滨海地区平均海拔不足5米，缺少天然屏障。主要自然灾害有风暴潮、赤潮、海冰、大风、冰雹、大雾、暴雨、暴雪、沙尘暴、雷暴以及地震、洪涝、干旱。风暴潮常出现在4月—11月，发生时间多在每月朔（初一）、望（十五）期前后2日—3日大潮时，多发生在春分和秋分节气。渤海和黄海北部，每年冬季均有不同程度结冰现象，系北半球纬度最低结冰海区。海冰为一年冰，轻冰年与重冰年冰情差异很大。滨海新区一般于当年12月下旬—翌年2月中下旬为结冰期。下旬终冰，冰期40天～60天。渤海（主要是渤海湾、黄河口和大连湾等地）常有赤潮发生。1990年前，发生的赤潮缺乏完整记录与统计。2000年前，赤潮特点是频率低，规模较大。2000年后，赤潮发生呈现小面积、高频率、广分布的特点。发生赤潮的海水常带黏性，并腥臭，俗称臭水。能引起赤潮的生物60余种。</w:t>
      </w:r>
    </w:p>
    <w:p w14:paraId="026C11A2">
      <w:pPr>
        <w:pStyle w:val="2"/>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滨海地区海岸线长，地面高程低，处于诸河尾闾。上游泄洪排涝多经此入海，加之各河防洪闸上下淤积，泄水量达不到原设计标准，且降水不均，大暴雨集中夏秋，多受海潮顶阻，易生洪涝。</w:t>
      </w:r>
    </w:p>
    <w:p w14:paraId="0A549A4D">
      <w:pPr>
        <w:pStyle w:val="2"/>
        <w:ind w:firstLine="560" w:firstLineChars="200"/>
        <w:rPr>
          <w:rFonts w:ascii="宋体" w:hAnsi="宋体" w:eastAsia="宋体" w:cs="Times New Roman"/>
          <w:sz w:val="28"/>
          <w:szCs w:val="28"/>
          <w:lang w:eastAsia="zh-CN"/>
        </w:rPr>
      </w:pPr>
      <w:r>
        <w:rPr>
          <w:rFonts w:hint="eastAsia" w:ascii="宋体" w:hAnsi="宋体" w:eastAsia="宋体" w:cs="Times New Roman"/>
          <w:sz w:val="28"/>
          <w:szCs w:val="28"/>
          <w:lang w:eastAsia="zh-CN"/>
        </w:rPr>
        <w:t>2022年7月3日，滨海新区出现强降水，全区自动雨量观测站中最大雨量115.5毫米。7月5日夜间至6日白天出现暴雨局部大暴雨，全区自动雨量观测站中最大雨量160.2毫米。8月18日，滨海新区出现全年最强降雨过程，全区平均降雨量95.5毫米，最大降雨量195.6毫米，最大小时降雨量117.1毫米。</w:t>
      </w:r>
    </w:p>
    <w:p w14:paraId="7735CCF9">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7FFB5598">
      <w:pPr>
        <w:pStyle w:val="2"/>
        <w:jc w:val="right"/>
        <w:rPr>
          <w:rFonts w:ascii="楷体" w:hAnsi="楷体" w:eastAsia="楷体"/>
          <w:sz w:val="28"/>
          <w:szCs w:val="28"/>
          <w:lang w:eastAsia="zh-CN"/>
        </w:rPr>
      </w:pPr>
    </w:p>
    <w:p w14:paraId="0EAEC0D8">
      <w:pPr>
        <w:jc w:val="center"/>
        <w:rPr>
          <w:rFonts w:ascii="幼圆" w:eastAsia="幼圆" w:hAnsiTheme="minorEastAsia"/>
          <w:b/>
          <w:sz w:val="32"/>
          <w:szCs w:val="32"/>
        </w:rPr>
      </w:pPr>
      <w:r>
        <w:rPr>
          <w:rFonts w:hint="eastAsia" w:ascii="幼圆" w:eastAsia="幼圆" w:hAnsiTheme="minorEastAsia"/>
          <w:b/>
          <w:sz w:val="32"/>
          <w:szCs w:val="32"/>
        </w:rPr>
        <w:t>自然资源</w:t>
      </w:r>
    </w:p>
    <w:p w14:paraId="3BBDC934">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土地资源</w:t>
      </w:r>
      <w:r>
        <w:rPr>
          <w:rFonts w:hint="eastAsia" w:asciiTheme="minorEastAsia" w:hAnsiTheme="minorEastAsia" w:eastAsiaTheme="minorEastAsia"/>
          <w:sz w:val="28"/>
          <w:szCs w:val="28"/>
          <w:lang w:eastAsia="zh-CN"/>
        </w:rPr>
        <w:t>】　滨海新区土壤母质以河流冲积物为主，多为潮土、盐土及沼泽土，土壤性能不佳，耕作层多属壤土或黏土，肥力较低，且有不同程度盐渍化现象。滨海新区尚有大量待开发荒地和滩涂。其中，荒地1.2万公顷，滩涂4万公顷。滩涂高潮滩2000公顷，中潮滩6666.67公顷，低潮滩1.47万公顷，水下浅滩1.67万公顷。滩涂开发利用近3%，发展潜力巨大。</w:t>
      </w:r>
    </w:p>
    <w:p w14:paraId="07885F8A">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4AA4056">
      <w:pPr>
        <w:pStyle w:val="2"/>
        <w:jc w:val="right"/>
        <w:rPr>
          <w:rFonts w:ascii="楷体" w:hAnsi="楷体" w:eastAsia="楷体"/>
          <w:sz w:val="28"/>
          <w:szCs w:val="28"/>
          <w:lang w:eastAsia="zh-CN"/>
        </w:rPr>
      </w:pPr>
    </w:p>
    <w:p w14:paraId="40656ED4">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石油、天然气资源</w:t>
      </w:r>
      <w:r>
        <w:rPr>
          <w:rFonts w:hint="eastAsia" w:asciiTheme="minorEastAsia" w:hAnsiTheme="minorEastAsia" w:eastAsiaTheme="minorEastAsia"/>
          <w:sz w:val="28"/>
          <w:szCs w:val="28"/>
          <w:lang w:eastAsia="zh-CN"/>
        </w:rPr>
        <w:t>】　滨海地区石油、天然气资源丰富。陆上大港油田，海上渤海油田，面积大、油层厚、含硫低、价值高。1964年，大港油田开钻成功。1969年，渤海油田打出第一口井。1975年、1977年，海四油田、埕北油田相继投产。油气田有效勘探面积占渤海海域面积70%。其所产原油均为优质能源与化工原料。</w:t>
      </w:r>
    </w:p>
    <w:p w14:paraId="0B03777E">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62E08D8B">
      <w:pPr>
        <w:pStyle w:val="2"/>
        <w:jc w:val="right"/>
        <w:rPr>
          <w:rFonts w:ascii="楷体" w:hAnsi="楷体" w:eastAsia="楷体"/>
          <w:sz w:val="28"/>
          <w:szCs w:val="28"/>
          <w:lang w:eastAsia="zh-CN"/>
        </w:rPr>
      </w:pPr>
    </w:p>
    <w:p w14:paraId="3D494376">
      <w:pPr>
        <w:pStyle w:val="2"/>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水资源</w:t>
      </w:r>
      <w:r>
        <w:rPr>
          <w:rFonts w:hint="eastAsia" w:asciiTheme="minorEastAsia" w:hAnsiTheme="minorEastAsia" w:eastAsiaTheme="minorEastAsia"/>
          <w:sz w:val="28"/>
          <w:szCs w:val="28"/>
          <w:lang w:eastAsia="zh-CN"/>
        </w:rPr>
        <w:t>】　海河、蓟运河、永定新河、潮白河、独流减河等流经滨海新区入海，途中多被拦蓄，入境水量不丰，夏季汛期方有较多水量注入。域内有北大港、黄港等大型平原水库，蓄水能力5.4亿立方米，具有一定调蓄功能。</w:t>
      </w:r>
    </w:p>
    <w:p w14:paraId="189220BC">
      <w:pPr>
        <w:pStyle w:val="2"/>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滨海地区系退海形成的滨海平原，以陆相为主的地下水资源少，淡水埋藏深，因紧靠渤海湾，浅层地下水盐碱程度高，几无淡水。含水层以粉细砂为主，颗粒细，透水性弱，径流迟缓，富水性弱。第四系底界埋深420米～440米，含水砂层总厚88米～290米。地下水补给、径流、排泄条件比较差。因地表水源不足而大量开采地下水。1970年始，打机井以供农业用水。因深层水开采过量，造成静水位下降，地面下沉严重。20世纪80年代初，滨海南部第三、第七含水组形成较大范围地下水位降落漏斗，漏斗中心在大港油田指挥部，面积约40 平方千米。1987年，第三、第四、第五、第六 4个含水组，均形成水位下降漏斗，漏斗面积约130平方千米。为控制地面下沉，部分机井停用，并停止打井。</w:t>
      </w:r>
    </w:p>
    <w:p w14:paraId="611DD121">
      <w:pPr>
        <w:pStyle w:val="2"/>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滨海新区地表淡水匮乏，2018年水资源总量1.81亿立方米，人均水资源量61.54立方米，远低于全国平均水平2009米</w:t>
      </w:r>
      <w:r>
        <w:rPr>
          <w:rFonts w:hint="eastAsia" w:asciiTheme="minorEastAsia" w:hAnsiTheme="minorEastAsia" w:eastAsiaTheme="minorEastAsia"/>
          <w:sz w:val="28"/>
          <w:szCs w:val="28"/>
          <w:vertAlign w:val="superscript"/>
          <w:lang w:eastAsia="zh-CN"/>
        </w:rPr>
        <w:t>3</w:t>
      </w:r>
      <w:r>
        <w:rPr>
          <w:rFonts w:hint="eastAsia" w:asciiTheme="minorEastAsia" w:hAnsiTheme="minorEastAsia" w:eastAsiaTheme="minorEastAsia"/>
          <w:sz w:val="28"/>
          <w:szCs w:val="28"/>
          <w:lang w:eastAsia="zh-CN"/>
        </w:rPr>
        <w:t>/人，属于资源型严重缺水地区，城乡用水主要依靠外调地表水。随着南水北调中线工程通水，长江水成为区主要水源之一。2022年，滨海新区平均气温13.3℃，较历年平均值偏低0.2℃；年降水量561.8毫米，比历年平均值编多21.9毫米。地表水资源量1.24亿立方米，大中型水库年末库存量1.88亿立方米，出境入海水量31.57亿立方米。总供水量5.89亿立方米。其中，地表水源供水 3.31亿立方米，地下水源供水 0.38 亿立方米，非常规水源供水 2.2 亿立方米。</w:t>
      </w:r>
    </w:p>
    <w:p w14:paraId="615705D5">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874623C">
      <w:pPr>
        <w:pStyle w:val="2"/>
        <w:jc w:val="right"/>
        <w:rPr>
          <w:rFonts w:ascii="楷体" w:hAnsi="楷体" w:eastAsia="楷体"/>
          <w:sz w:val="28"/>
          <w:szCs w:val="28"/>
          <w:lang w:eastAsia="zh-CN"/>
        </w:rPr>
      </w:pPr>
    </w:p>
    <w:p w14:paraId="45DF4B08">
      <w:pPr>
        <w:pStyle w:val="2"/>
        <w:ind w:right="11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水产资源</w:t>
      </w:r>
      <w:r>
        <w:rPr>
          <w:rFonts w:hint="eastAsia" w:asciiTheme="minorEastAsia" w:hAnsiTheme="minorEastAsia" w:eastAsiaTheme="minorEastAsia"/>
          <w:sz w:val="28"/>
          <w:szCs w:val="28"/>
          <w:lang w:eastAsia="zh-CN"/>
        </w:rPr>
        <w:t>】　渤海为陆地环抱浅海，海域位于大陆架上，平均水深26米。黄河、海河、滦河、辽河等河流的注入带来大量有机物，利于浮游生物繁殖，适宜鱼类生长。滨海新区位于渤海湾中心，海岸线长，浅海水域宽广，滩涂逾400平方千米，为洄游鱼虾、多种地方性鱼虾、贝类繁殖生长的良好场所。水产生物150种，其中有小黄鱼、梭鱼、鲙鱼、鲈鱼、平鱼、鳀鱼等 68 种，及对虾、梭子蟹、毛蚶等。沿海地区利用浅海滩涂、洼地、盐田发展海水养殖业，其中对虾为扩大养殖生产主要品种。</w:t>
      </w:r>
    </w:p>
    <w:p w14:paraId="3880B663">
      <w:pPr>
        <w:pStyle w:val="2"/>
        <w:ind w:right="11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滨海新区内陆水域广阔，淡水生物资源丰富。北大港水库、黄港水库等生长大量水生植物和底栖动物，成为杂食或草食鱼类养殖的天然场所。池塘淡水养殖的主要品种有鲢、草、鲤、鲫、鳙、鳊、鲳等，亦引进青虾、河蟹、贝类等新品种。</w:t>
      </w:r>
    </w:p>
    <w:p w14:paraId="746DA6FE">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DFE1BC3">
      <w:pPr>
        <w:pStyle w:val="2"/>
        <w:jc w:val="right"/>
        <w:rPr>
          <w:rFonts w:ascii="楷体" w:hAnsi="楷体" w:eastAsia="楷体"/>
          <w:sz w:val="28"/>
          <w:szCs w:val="28"/>
          <w:lang w:eastAsia="zh-CN"/>
        </w:rPr>
      </w:pPr>
    </w:p>
    <w:p w14:paraId="22913C01">
      <w:pPr>
        <w:pStyle w:val="2"/>
        <w:ind w:right="110"/>
        <w:rPr>
          <w:rFonts w:asciiTheme="minorEastAsia" w:hAnsiTheme="minorEastAsia" w:eastAsiaTheme="minorEastAsia"/>
          <w:sz w:val="28"/>
          <w:szCs w:val="28"/>
          <w:lang w:eastAsia="zh-CN"/>
        </w:rPr>
      </w:pPr>
      <w:r>
        <w:rPr>
          <w:rFonts w:hint="eastAsia" w:ascii="黑体" w:hAnsi="黑体" w:eastAsia="黑体"/>
          <w:sz w:val="28"/>
          <w:szCs w:val="28"/>
          <w:lang w:eastAsia="zh-CN"/>
        </w:rPr>
        <w:t>【海盐资源】</w:t>
      </w:r>
      <w:r>
        <w:rPr>
          <w:rFonts w:hint="eastAsia" w:asciiTheme="minorEastAsia" w:hAnsiTheme="minorEastAsia" w:eastAsiaTheme="minorEastAsia"/>
          <w:sz w:val="28"/>
          <w:szCs w:val="28"/>
          <w:lang w:eastAsia="zh-CN"/>
        </w:rPr>
        <w:t>　滨海新区为海积平原，域内拥有长芦海晶集团、长芦汉沽盐场等盐场，系国内海盐主要产地，盐田逾3.33万公顷。海水含盐量26‰～ 30‰，适宜晒制海盐。所产原盐氯化钠含量95％～ 96％，既是优质食盐，又是上等化工原料，历史悠久，驰名中外。滨海新区原盐年产逾270万吨。</w:t>
      </w:r>
    </w:p>
    <w:p w14:paraId="71235D7B">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7395EDED">
      <w:pPr>
        <w:pStyle w:val="2"/>
        <w:jc w:val="right"/>
        <w:rPr>
          <w:rFonts w:ascii="楷体" w:hAnsi="楷体" w:eastAsia="楷体"/>
          <w:sz w:val="28"/>
          <w:szCs w:val="28"/>
          <w:lang w:eastAsia="zh-CN"/>
        </w:rPr>
      </w:pPr>
    </w:p>
    <w:p w14:paraId="438135FD">
      <w:pPr>
        <w:jc w:val="center"/>
        <w:rPr>
          <w:rFonts w:ascii="幼圆" w:eastAsia="幼圆" w:hAnsiTheme="minorEastAsia"/>
          <w:b/>
          <w:sz w:val="32"/>
          <w:szCs w:val="32"/>
        </w:rPr>
      </w:pPr>
      <w:r>
        <w:rPr>
          <w:rFonts w:hint="eastAsia" w:ascii="幼圆" w:eastAsia="幼圆" w:hAnsiTheme="minorEastAsia"/>
          <w:b/>
          <w:sz w:val="32"/>
          <w:szCs w:val="32"/>
        </w:rPr>
        <w:t>建置区划</w:t>
      </w:r>
    </w:p>
    <w:p w14:paraId="16334FAD">
      <w:pPr>
        <w:pStyle w:val="2"/>
        <w:ind w:right="11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行政区划</w:t>
      </w:r>
      <w:r>
        <w:rPr>
          <w:rFonts w:hint="eastAsia" w:asciiTheme="minorEastAsia" w:hAnsiTheme="minorEastAsia" w:eastAsiaTheme="minorEastAsia"/>
          <w:sz w:val="28"/>
          <w:szCs w:val="28"/>
          <w:lang w:eastAsia="zh-CN"/>
        </w:rPr>
        <w:t>】　至 2022 年末，滨海新区包括天津经济技术开发区（南港工业区）、天津港保税区、天津滨海高新技术产业开发区、东疆保税港区、中新天津生态城５个国家级开发区，下辖塘沽、新北、杭州道、新河、大沽、北塘、胡家园、新港、新村、泰达、汉沽、茶淀、寨上、大港、古林、海滨16个街道和新城、杨家泊、中塘、太平、小王庄5个镇，行政村139个，社区居委会346个，工作站7个。</w:t>
      </w:r>
    </w:p>
    <w:p w14:paraId="19D5D276">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84227AA">
      <w:pPr>
        <w:pStyle w:val="2"/>
        <w:jc w:val="right"/>
        <w:rPr>
          <w:rFonts w:ascii="楷体" w:hAnsi="楷体" w:eastAsia="楷体"/>
          <w:sz w:val="28"/>
          <w:szCs w:val="28"/>
          <w:lang w:eastAsia="zh-CN"/>
        </w:rPr>
      </w:pPr>
    </w:p>
    <w:p w14:paraId="11DE76A1">
      <w:pPr>
        <w:pStyle w:val="2"/>
        <w:ind w:right="11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黑体" w:hAnsi="黑体" w:eastAsia="黑体"/>
          <w:sz w:val="28"/>
          <w:szCs w:val="28"/>
          <w:lang w:eastAsia="zh-CN"/>
        </w:rPr>
        <w:t>建置沿革</w:t>
      </w:r>
      <w:r>
        <w:rPr>
          <w:rFonts w:hint="eastAsia" w:asciiTheme="minorEastAsia" w:hAnsiTheme="minorEastAsia" w:eastAsiaTheme="minorEastAsia"/>
          <w:sz w:val="28"/>
          <w:szCs w:val="28"/>
          <w:lang w:eastAsia="zh-CN"/>
        </w:rPr>
        <w:t>】　1994年2月，天津市委、市政府提出成立滨海新区领导小组，实施对滨海新区开发建设的领导。３月，天津市第十二届人民代表大会第二次会议通过决议，决定用10年左右时间基本建成滨海新区。1995年，滨海新区领导小组办公室成立。2000年，中共天津市滨海新区工作委员会和滨海新区管理委员会成立。2005年，中共十六届五中全会提出，推进天津滨海新区等条件较好地区的开发开放，带动区域经济发展，将滨海新区开发开放纳入国家总体发展战略布局。2006年，国务院颁发《关于推进天津滨海新区开发开放有关问题的意见》，明确滨海新区的功能定位。2009年11月6日，根据国务院对天津市调整部分行政区划的批复要求和天津市委、市政府关于滨海新区管理体制改革的部署，天津市委、市政府发出通知，就滨海新区管理体制改革工作提出实施意见。11月9日，天津市委、市政府召开滨海新区管理体制改革动员大会。滨海新区管理体制改革主要内容：建立统一的行政架构，撤销滨海新区工委、管委会，撤销塘沽区、汉沽区、大港区现行建制，建立滨海新区行政区，辖区范围包括塘沽区、汉沽区、大港区全境。东丽区和津南区的部分区域，不划入滨海新区行政区范围，仍为滨海新区产业规划区域。构建精简高效的管理机构，建立滨海新区区委、区人大、区政府、区政协，区级机构比原有3个行政区大幅精简。组建两类区委、区政府的派出机构。一类是城区管理机制，成立塘沽、汉沽、大港3个工委和管委会，主要行使社会管理职能，保留经济管理职能；一类是功能区管理机构，成立 9 个功能区党组和管委会，主要行使经济发展职能。形成新区的事在新区办的运行机制，赋予新区更大的自主发展权、自主改革权、自主创新权。凡属于天津市权限范围内的，新区可以自行决定的事情，原则上都下放给新区。凡新区能办的事，支持先行先试。凡新区需要报送国家审批的事项，市相关职能部门按程序报送。12月，中共天津市滨海新区第一次代表大会在塘沽大剧院召开，选举产生滨海新区第一届区委领导机构，何立峰当选为区委书记。2010年１月，分别召开区人大、区政协第一届第一次会议。2013年９月，滨海新区深化管理体制改革，撤销塘沽、汉沽、大港3个城区工委、管委会。2014年12月，中国（天津）自由贸易试验区设立。2015年4月挂牌运行。2018年，滨海新区深化功能区管理体制改革，将区位相邻、功能定位相近的原中心商务区并入天津经济开发区、原临港经济区并入天津港保税区，改革后设有天津经济技术开发区（南港工业区）、天津港保税区、天津滨海高新技术产业开发区、东疆保税港区、中新天津生态城５个国家级开发区。2021年，完成泰达街及塘沽街、大沽街、新村街、新港街和杭州道街等周边街道行政区划界线勘定，与东丽区、西青区和津南区等相邻区界线勘定。</w:t>
      </w:r>
    </w:p>
    <w:p w14:paraId="2933CB14">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2A9B06D4">
      <w:pPr>
        <w:pStyle w:val="2"/>
        <w:jc w:val="right"/>
        <w:rPr>
          <w:rFonts w:ascii="楷体" w:hAnsi="楷体" w:eastAsia="楷体"/>
          <w:sz w:val="28"/>
          <w:szCs w:val="28"/>
          <w:lang w:eastAsia="zh-CN"/>
        </w:rPr>
      </w:pPr>
    </w:p>
    <w:p w14:paraId="1D4AF103">
      <w:pPr>
        <w:jc w:val="center"/>
        <w:rPr>
          <w:rFonts w:ascii="幼圆" w:eastAsia="幼圆" w:hAnsiTheme="minorEastAsia"/>
          <w:b/>
          <w:sz w:val="32"/>
          <w:szCs w:val="32"/>
        </w:rPr>
      </w:pPr>
      <w:r>
        <w:rPr>
          <w:rFonts w:hint="eastAsia" w:ascii="幼圆" w:eastAsia="幼圆" w:hAnsiTheme="minorEastAsia"/>
          <w:b/>
          <w:sz w:val="32"/>
          <w:szCs w:val="32"/>
        </w:rPr>
        <w:t>人口　民族宗教</w:t>
      </w:r>
    </w:p>
    <w:p w14:paraId="4E0DEE3B">
      <w:pPr>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黑体" w:hAnsi="黑体" w:eastAsia="黑体"/>
          <w:sz w:val="28"/>
          <w:szCs w:val="28"/>
        </w:rPr>
        <w:t>人口</w:t>
      </w:r>
      <w:r>
        <w:rPr>
          <w:rFonts w:hint="eastAsia" w:asciiTheme="minorEastAsia" w:hAnsiTheme="minorEastAsia" w:eastAsiaTheme="minorEastAsia"/>
          <w:sz w:val="28"/>
          <w:szCs w:val="28"/>
        </w:rPr>
        <w:t>】　2022年末，滨海新区常住人口202.38万人，户籍户数59.04 万户，户籍人口156.32万人。其中，男性79.39万人，女性76.93万人。按年龄构成分：0-17岁29.93万人；18-34岁30.96万人；35-59岁61.54万人；60岁及以上33.89万人。人口迁入7.25万人，人口迁出 4.98万人。</w:t>
      </w:r>
    </w:p>
    <w:p w14:paraId="30E9B875">
      <w:pPr>
        <w:pStyle w:val="2"/>
        <w:ind w:firstLine="560" w:firstLineChars="200"/>
        <w:jc w:val="right"/>
        <w:rPr>
          <w:rFonts w:ascii="楷体" w:hAnsi="楷体" w:eastAsia="楷体"/>
          <w:sz w:val="28"/>
          <w:szCs w:val="28"/>
          <w:lang w:eastAsia="zh-CN"/>
        </w:rPr>
      </w:pPr>
      <w:r>
        <w:rPr>
          <w:rFonts w:hint="eastAsia" w:ascii="楷体" w:hAnsi="楷体" w:eastAsia="楷体"/>
          <w:sz w:val="28"/>
          <w:szCs w:val="28"/>
          <w:lang w:eastAsia="zh-CN"/>
        </w:rPr>
        <w:t>（区统计局  区公安局）</w:t>
      </w:r>
    </w:p>
    <w:p w14:paraId="362C97A9">
      <w:pPr>
        <w:pStyle w:val="2"/>
        <w:ind w:firstLine="560" w:firstLineChars="200"/>
        <w:jc w:val="right"/>
        <w:rPr>
          <w:rFonts w:asciiTheme="minorEastAsia" w:hAnsiTheme="minorEastAsia" w:eastAsiaTheme="minorEastAsia"/>
          <w:sz w:val="28"/>
          <w:szCs w:val="28"/>
          <w:lang w:eastAsia="zh-CN"/>
        </w:rPr>
      </w:pPr>
    </w:p>
    <w:p w14:paraId="3A95E869">
      <w:pPr>
        <w:spacing w:line="560" w:lineRule="exact"/>
        <w:rPr>
          <w:rFonts w:cs="仿宋_GB2312" w:asciiTheme="minorEastAsia" w:hAnsiTheme="minorEastAsia" w:eastAsiaTheme="minorEastAsia"/>
          <w:sz w:val="28"/>
          <w:szCs w:val="28"/>
        </w:rPr>
      </w:pPr>
      <w:r>
        <w:rPr>
          <w:rFonts w:hint="eastAsia" w:cs="仿宋_GB2312" w:asciiTheme="minorEastAsia" w:hAnsiTheme="minorEastAsia" w:eastAsiaTheme="minorEastAsia"/>
          <w:bCs/>
          <w:sz w:val="28"/>
          <w:szCs w:val="28"/>
        </w:rPr>
        <w:t>【</w:t>
      </w:r>
      <w:r>
        <w:rPr>
          <w:rFonts w:hint="eastAsia" w:ascii="黑体" w:hAnsi="黑体" w:eastAsia="黑体" w:cstheme="minorBidi"/>
          <w:kern w:val="0"/>
          <w:sz w:val="28"/>
          <w:szCs w:val="28"/>
        </w:rPr>
        <w:t>民族宗教</w:t>
      </w:r>
      <w:r>
        <w:rPr>
          <w:rFonts w:hint="eastAsia" w:cs="仿宋_GB2312" w:asciiTheme="minorEastAsia" w:hAnsiTheme="minorEastAsia" w:eastAsiaTheme="minorEastAsia"/>
          <w:bCs/>
          <w:sz w:val="28"/>
          <w:szCs w:val="28"/>
        </w:rPr>
        <w:t>】</w:t>
      </w:r>
      <w:r>
        <w:rPr>
          <w:rFonts w:hint="eastAsia" w:cs="仿宋_GB2312" w:asciiTheme="minorEastAsia" w:hAnsiTheme="minorEastAsia" w:eastAsiaTheme="minorEastAsia"/>
          <w:sz w:val="28"/>
          <w:szCs w:val="28"/>
        </w:rPr>
        <w:t xml:space="preserve">  至2022年末，滨海新区54个少数民族（只缺少基诺族），常住少数民族人口5.6万人，占全区总人口2.7%。其中超过千人的有蒙古族、回族、苗族、彝族、朝鲜族、土家族。有3个少数民族聚居村，分别是新城镇南开村、海滨街道远景一村和太平镇远景二村，主要是回族，占各村人口总数30%以上。</w:t>
      </w:r>
    </w:p>
    <w:p w14:paraId="7968F853">
      <w:pPr>
        <w:pStyle w:val="12"/>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滨海新区寺观教堂11处，佛教寺庙1座（潮音寺），伊斯兰教清真寺7座（滨海清真大寺、大沽清真寺、南开村清真寺、黄圈村清真寺、大港清真寺、远景一村清真寺、远景二村清真寺），天主教堂1座（塘沽中心桥教堂），基督教堂2座（塘沽堂、大港堂）。宗教团体1个，天津市滨海新区伊斯兰教协会。</w:t>
      </w:r>
    </w:p>
    <w:p w14:paraId="5B1175D4">
      <w:pPr>
        <w:spacing w:line="560" w:lineRule="exact"/>
        <w:ind w:firstLine="560" w:firstLineChars="200"/>
        <w:jc w:val="right"/>
        <w:rPr>
          <w:rStyle w:val="22"/>
          <w:rFonts w:ascii="楷体" w:hAnsi="楷体" w:eastAsia="楷体"/>
          <w:sz w:val="28"/>
          <w:szCs w:val="28"/>
        </w:rPr>
      </w:pPr>
      <w:r>
        <w:rPr>
          <w:rFonts w:hint="eastAsia" w:ascii="楷体" w:hAnsi="楷体" w:eastAsia="楷体"/>
          <w:sz w:val="28"/>
          <w:szCs w:val="28"/>
        </w:rPr>
        <w:t>（王彦山）</w:t>
      </w:r>
    </w:p>
    <w:p w14:paraId="73AAACBA">
      <w:pPr>
        <w:pStyle w:val="12"/>
        <w:rPr>
          <w:rFonts w:asciiTheme="minorEastAsia" w:hAnsiTheme="minorEastAsia" w:eastAsiaTheme="minorEastAsia"/>
          <w:sz w:val="28"/>
          <w:szCs w:val="28"/>
        </w:rPr>
      </w:pPr>
    </w:p>
    <w:p w14:paraId="5DF0CE72">
      <w:pPr>
        <w:jc w:val="center"/>
        <w:rPr>
          <w:rFonts w:ascii="幼圆" w:eastAsia="幼圆" w:hAnsiTheme="minorEastAsia"/>
          <w:b/>
          <w:sz w:val="32"/>
          <w:szCs w:val="32"/>
        </w:rPr>
      </w:pPr>
      <w:r>
        <w:rPr>
          <w:rFonts w:hint="eastAsia" w:ascii="幼圆" w:eastAsia="幼圆" w:hAnsiTheme="minorEastAsia"/>
          <w:b/>
          <w:sz w:val="32"/>
          <w:szCs w:val="32"/>
        </w:rPr>
        <w:t>政治经济社会建设</w:t>
      </w:r>
    </w:p>
    <w:p w14:paraId="5ADC1B0C">
      <w:pPr>
        <w:pBdr>
          <w:bottom w:val="single" w:color="FFFFFF" w:sz="4" w:space="0"/>
        </w:pBdr>
        <w:tabs>
          <w:tab w:val="left" w:pos="1980"/>
        </w:tabs>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w:t>
      </w:r>
      <w:r>
        <w:rPr>
          <w:rFonts w:hint="eastAsia" w:ascii="黑体" w:hAnsi="黑体" w:eastAsia="黑体" w:cstheme="minorBidi"/>
          <w:kern w:val="0"/>
          <w:sz w:val="28"/>
          <w:szCs w:val="28"/>
        </w:rPr>
        <w:t>政治建设</w:t>
      </w:r>
      <w:r>
        <w:rPr>
          <w:rFonts w:hint="eastAsia" w:asciiTheme="minorEastAsia" w:hAnsiTheme="minorEastAsia" w:eastAsiaTheme="minorEastAsia"/>
          <w:b/>
          <w:sz w:val="28"/>
          <w:szCs w:val="28"/>
        </w:rPr>
        <w:t xml:space="preserve">】 </w:t>
      </w:r>
      <w:r>
        <w:rPr>
          <w:rFonts w:hint="eastAsia" w:asciiTheme="minorEastAsia" w:hAnsiTheme="minorEastAsia" w:eastAsiaTheme="minorEastAsia"/>
          <w:sz w:val="28"/>
          <w:szCs w:val="28"/>
        </w:rPr>
        <w:t xml:space="preserve"> 2022年，滨海新区深化开展落实全面从严治党主体责任和推进政治生态建设情况考核，优化考核方式，在全市率先采取“一季一考”形式，建立“红黄牌+整改”工作机制，拓展考核范围，将2个政府直属事业单位党组纳入考核对象，完成92家党委（党组、工委）2021年度主体责任考核评价工作，表彰29家优秀单位，约谈考核落后单位主要负责人。部署开展各级党组织书记抓基层党建述职评议考核工作，把考核结果作为评先评优、选任干部的重要依据。持续深化市委巡视反馈意见深度整改和选人用人工作专项检查发现问题整改工作，推动58项整改任务销号清零。认真贯彻执行新形势下党内政治生活若干准则，严格落实年度民主生活会“五查看、五不开、五叫停”机制，督导全区87家单位召开党史学习教育专题民主生活会，组织7980个党支部召开“迎盛会、铸忠诚、强担当、创业绩”专题组织生活会，13.6万余名党员参加。依法行政水平不断提高。践行习近平法治思想，开展“八五”普法，完善重大行政决策机制，完成行政执法协调监督工作体系建设和“互联网+监管”多级联动2项国家级试点任务，创建市级民主示范村（社区）8个，“一企一证”综合改革入选全国法治政府建设示范项目。严格执行“三重一大”制度，政务公开力度加大。主动接受区人大及其常委会法律监督、区政协民主监督，243件人大代表建议、317件政协提案全部办结。加强军政军民团结。支持工青妇等群团组织开展工作，民族宗教侨务、对台、外事工作进一步加强，意识形态、安全保密工作有效落实。正风肃纪成果不断巩固。坚决落实中央八项规定及其实施细则精神，驰而不息纠治“四风”，深入开展形式主义、官僚主义和不担当不作为问题专项治理。持续为基层减负，严控“三公”经费，一般性支出持续压缩。强化公共资源交易、工程招投标等重点领域廉政风险防控和审计监督，始终保持惩治腐败的高压态势。</w:t>
      </w:r>
    </w:p>
    <w:p w14:paraId="173EE15D">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4069DCDE">
      <w:pPr>
        <w:pStyle w:val="2"/>
        <w:spacing w:line="240" w:lineRule="auto"/>
        <w:rPr>
          <w:rFonts w:asciiTheme="minorEastAsia" w:hAnsiTheme="minorEastAsia" w:eastAsiaTheme="minorEastAsia"/>
          <w:sz w:val="28"/>
          <w:szCs w:val="28"/>
          <w:lang w:eastAsia="zh-CN"/>
        </w:rPr>
      </w:pPr>
    </w:p>
    <w:p w14:paraId="2665C978">
      <w:pPr>
        <w:rPr>
          <w:rFonts w:asciiTheme="minorEastAsia" w:hAnsiTheme="minorEastAsia" w:eastAsiaTheme="minorEastAsia"/>
          <w:sz w:val="28"/>
          <w:szCs w:val="28"/>
        </w:rPr>
      </w:pPr>
      <w:r>
        <w:rPr>
          <w:rFonts w:hint="eastAsia" w:ascii="黑体" w:hAnsi="黑体" w:eastAsia="黑体" w:cstheme="minorBidi"/>
          <w:kern w:val="0"/>
          <w:sz w:val="28"/>
          <w:szCs w:val="28"/>
        </w:rPr>
        <w:t>【经济建设</w:t>
      </w:r>
      <w:r>
        <w:rPr>
          <w:rFonts w:hint="eastAsia" w:asciiTheme="minorEastAsia" w:hAnsiTheme="minorEastAsia" w:eastAsiaTheme="minorEastAsia"/>
          <w:sz w:val="28"/>
          <w:szCs w:val="28"/>
        </w:rPr>
        <w:t>】  2022年，滨海新区地区生产总值比上年增长1.1%。其中，第一产业下降6.1%，第二产业增长1.3%，第三产业增长0.9%。三次产业结构为0.4:48.5:51.1。一般公共预算收入505.4亿元，下降11.7%，去除留抵退税因素，可比下降4.3%。其中，税收收入420.6亿元，同比下降16.8%，可比下降8.4%，占一般公共预算收入的83.2%。增值税123.6亿元，下降26.6%；企业所得税126.9亿元，下降13.6%；个人所得税31.6亿元，下降17.4%。一般公共预算支出684.6亿元，下降15.3%。其中，教育支出82.6亿元，下降0.5%；社会保障与就业支出29.9亿元，增长10.7%；医疗卫生与计划生育支出28.6亿元，增长12.6%。</w:t>
      </w:r>
    </w:p>
    <w:p w14:paraId="4C16DE7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农业发展。农林牧渔业总产值50.64亿元，可比下降5.5%。其中，种植业产值10.72亿元，增长0.1 %；畜牧业产值18.03亿元，增长8.4%；渔业产值20.25亿元，下降8.4%。农林牧渔专业及辅助性活动产值1.64亿元，下降48.6%。新增设施农业面积100亩、节水灌溉工程面积1386亩。有农民专业合作社880家。其中，市级农民专业合作社示范社12家，国家级农民专业合作社示范社5家。有国家级龙头企业3家、市级龙头企业28家。建成放心菜基地21个、放心蛋鸡保供基地11个、放心生猪保供基地4个、奶牛保供基地3个。</w:t>
      </w:r>
    </w:p>
    <w:p w14:paraId="7075AB15">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工业经济。规上工业增加值下降0.9%。规模以上工业中，国有控股企业增加值下降2.6%，集体控股企业增长15.4%，私人控股企业增长2.4%，港澳台商控股企业增长4.8%，外商控股企业下降7.0%。采矿业增加值增长4.7%，制造业下降3.2%，电力、热力、燃气及水生产和供应业下降18.6%。石油和天然气开采业增加值增长4.7%，石油、煤炭及其他燃料加工业增长0.1%，农副食品加工业增长27.2%，医药制造业增长6.6%，仪器仪表制造业增长9.5%。建筑业总产值2674.35亿元，比上年增长8.8%。土木工程建筑业产值1435.50亿元，增长20.0%；房屋建筑业产值1067.62亿元，增长0.7%；建筑安装业产值118.14亿元，增长2.6%。商品房施工面积2512.51万平方米，下降11.5%，其中住宅施工面积1840.23万平方米，下降4.8%。特级、一级资质的总专包建筑业企业121家。</w:t>
      </w:r>
    </w:p>
    <w:p w14:paraId="22ECE01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商业贸易。商品销售额比上年增长4.7%。限额以上商品销售额中，石油及制品类、化工材料及制品类及粮油食品类持续发挥主要拉动作用，全年销售额增长较快，分别增长26.8%、14.1%和11.0%。社会消费品零售总额增长2.0%。新建菜市场3个、连锁便利店26个。开展第二届滨城国际消费季活动，发放消费券5000万元，拉动消费16.7亿元。各商业载体推出“购滨城·促消费”系列活动，促进大宗商品消费。重点打造“游、购、品、赏”四张夜间经济名片，推出文化中心艺趣公园、智慧山那山、海昌极地世界等夜间经济街区消费活动。限额以上单位商品零售额中，消费升级类商品零售额增长较快。其中，家用电器和音像器材类零售额比上年增长1.1倍，智能家用电器和音像器材增长4.0倍，新能源汽车增长2.4倍，书报杂志类增长38.3%，文化办公用品类增长4.3倍。</w:t>
      </w:r>
    </w:p>
    <w:p w14:paraId="6F5B968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固定资产投资。固定资产投资（不含农户）比上年下降3.2%。第一产业投资下降65.2%；第二产业投资增长7.3%，其中工业投资增长7.1%；第三产业投资下降10.6%，其中交通运输仓储和邮电业增长2.1%，水利环境和公共设施管理业增长49.9%，居民服务、修理和其他服务业增长1.1倍，房地产业下降19.9%。基础设施投资增长14.4%，占新区投资额比重22.4%。</w:t>
      </w:r>
    </w:p>
    <w:p w14:paraId="09D3B28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外开放。实际使用外资50亿美元，增长15.0%。实际利用内资1790亿元，增长26.0%。进出口总额6300.8亿元，同比下降0.6%，其中出口2372亿元，下降3.0%。天津港新开通4条“一带一路”及RCEP新航线，集装箱吞吐量2102.13万标准箱，增长3.7%。探索跨境电商“线下保税展示+线上扫码交易”O2O新零售模式，推动跨境电商综合试验区建设。</w:t>
      </w:r>
    </w:p>
    <w:p w14:paraId="0D28DC5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交通和邮电。港口货物吞吐量5.49亿吨，比上年增长3.7%。集装箱吞吐量2102.13万TEU, 增长3.7%。机场旅客吞吐量584.17万人次，下降61.4%；机场货邮吞吐量13.15万吨，下降32.5%。邮政业务总量53.99亿元，增长6.2%，邮政业务收入66.75亿元，增长1.2%。快递业务量4.95亿件，增长17.1%，快递业务收入60.88亿元，增长0.9%。电信业务总量32.27亿元，下降3.8%。公网电话本地通话量80.34亿分钟，长途光缆线路总长度761.7千米。互联网用户255.8万户。其中，宽带接入用户48.9万户，光纤接入用户96.8万户。公网固定电话用户63.4万户，移动电话用户300.4万户，5G基站6623个。</w:t>
      </w:r>
    </w:p>
    <w:p w14:paraId="23C033D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金融业。全区金融机构（含外资）本外币各项存款余额8099.27亿元，比上年末增长11.0%；各项贷款余额13451.93亿元，增长1.7%。有各类上市企业53家；新三板挂牌公司59家；证券法人机构1家，证券公司分支机构29家，证券投资咨询机构2家；基金法人机构1家，基金销售机构2家；期货分支机构6家；融资租赁企业1293家；保理企业568家。证券机构开立证券账户117.17万户，比上年下降1.0%。证券机构交易总额8491.87亿元，增长4.1%。有5家发行人发行绿色公司债券11只，金额82.32亿元。</w:t>
      </w:r>
    </w:p>
    <w:p w14:paraId="4CEA24A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营商环境。深化“放管服”改革，实行“一制三化”审批16.83万件，落实“证照分离”备案、承诺、优化审批事项1.09万件。在自贸区率先推行“市场主体登记确认制”，高效登记8705例。新增市场主体7.93万户，增长21.5%。其中，新增内资企业2.53万户，包括国有控股企业565户、民营企业2.47万户；新增外资企业329户，新增个体工商户5.37万户。城镇新增就业9.78万人，增长1.1%；年末城镇调查失业率4.6%。</w:t>
      </w:r>
    </w:p>
    <w:p w14:paraId="1CF21F6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协同发展。推动北京非首都功能承接清单化、项目化，引进北京重大项目62个，协议投资额620.8亿元，中央企事业单位新设机构123个，注册资金715.7亿元。推进中埃泰达苏伊士经贸合作区提档升级建设。吸引浙商控股、TLS、华信中安、埃及东方物流、CIC、MESCO等多家企业落户合作区，成为埃及全境内政策和服务最优的中埃贸易平台。入驻企业134家，实际投资额15.11亿美元，销售33.96亿美元。强化产业合作、劳务协作和消费帮扶，引导10家企业落户甘肃省张家川县、合作市，企业投资额1.14亿元；引导8家企业落户青海省黄南州，企业投资额0.35亿元。持续东西部“结对认亲”工作，推动全区干部及民营企业家与西部群众开展“结对认亲”157组，捐助款物11.6万元，落实帮扶举措385个。</w:t>
      </w:r>
    </w:p>
    <w:p w14:paraId="31F0BED3">
      <w:pPr>
        <w:ind w:firstLine="560" w:firstLineChars="200"/>
      </w:pPr>
      <w:r>
        <w:rPr>
          <w:rFonts w:hint="eastAsia" w:asciiTheme="minorEastAsia" w:hAnsiTheme="minorEastAsia" w:eastAsiaTheme="minorEastAsia"/>
          <w:sz w:val="28"/>
          <w:szCs w:val="28"/>
        </w:rPr>
        <w:t>科技创新。国家高新技术企业超过4600家，国家科技型中小企业4492家。天津市雏鹰企业2460家、瞪羚企业185家、科技领军（培育）企业161家。有市级以上研发机构575家。其中重点实验室153家（国家级17家），工程技术（研究）中心109家（国家级20家），企业技术中心280家（国家级36家），技术创新中心9家，产业创新中心2家，产业技术研究院12家，制造业创新中心7家，海河实验室3家。建成市级以上众创空间66家，市级以上科技企业孵化器35家。全年签订技术合同2969项，技术合同成交额624.2亿元，增长35.8%。</w:t>
      </w:r>
    </w:p>
    <w:p w14:paraId="4BD4F5F6">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38BE9F7F">
      <w:pPr>
        <w:ind w:firstLine="560" w:firstLineChars="200"/>
        <w:rPr>
          <w:rFonts w:asciiTheme="minorEastAsia" w:hAnsiTheme="minorEastAsia" w:eastAsiaTheme="minorEastAsia"/>
          <w:sz w:val="28"/>
          <w:szCs w:val="28"/>
        </w:rPr>
      </w:pPr>
    </w:p>
    <w:p w14:paraId="0F03597E">
      <w:pPr>
        <w:rPr>
          <w:rFonts w:ascii="宋体" w:hAnsi="宋体" w:cs="楷体_GB2312"/>
          <w:color w:val="000000"/>
          <w:sz w:val="28"/>
          <w:szCs w:val="28"/>
        </w:rPr>
      </w:pPr>
      <w:r>
        <w:rPr>
          <w:rFonts w:hint="eastAsia" w:asciiTheme="minorEastAsia" w:hAnsiTheme="minorEastAsia" w:eastAsiaTheme="minorEastAsia"/>
          <w:sz w:val="28"/>
          <w:szCs w:val="28"/>
        </w:rPr>
        <w:t>【</w:t>
      </w:r>
      <w:r>
        <w:rPr>
          <w:rFonts w:hint="eastAsia" w:ascii="黑体" w:hAnsi="黑体" w:eastAsia="黑体" w:cstheme="minorBidi"/>
          <w:kern w:val="0"/>
          <w:sz w:val="28"/>
          <w:szCs w:val="28"/>
        </w:rPr>
        <w:t>文化建设</w:t>
      </w:r>
      <w:r>
        <w:rPr>
          <w:rFonts w:hint="eastAsia" w:asciiTheme="minorEastAsia" w:hAnsiTheme="minorEastAsia" w:eastAsiaTheme="minorEastAsia"/>
          <w:sz w:val="28"/>
          <w:szCs w:val="28"/>
        </w:rPr>
        <w:t>】  2022年，滨海新区抓好旅游</w:t>
      </w:r>
      <w:r>
        <w:rPr>
          <w:rFonts w:asciiTheme="minorEastAsia" w:hAnsiTheme="minorEastAsia" w:eastAsiaTheme="minorEastAsia"/>
          <w:sz w:val="28"/>
          <w:szCs w:val="28"/>
        </w:rPr>
        <w:t>景区、</w:t>
      </w:r>
      <w:r>
        <w:rPr>
          <w:rFonts w:hint="eastAsia" w:asciiTheme="minorEastAsia" w:hAnsiTheme="minorEastAsia" w:eastAsiaTheme="minorEastAsia"/>
          <w:sz w:val="28"/>
          <w:szCs w:val="28"/>
        </w:rPr>
        <w:t>互联网上网服务场所</w:t>
      </w:r>
      <w:r>
        <w:rPr>
          <w:rFonts w:asciiTheme="minorEastAsia" w:hAnsiTheme="minorEastAsia" w:eastAsiaTheme="minorEastAsia"/>
          <w:sz w:val="28"/>
          <w:szCs w:val="28"/>
        </w:rPr>
        <w:t>、</w:t>
      </w:r>
      <w:r>
        <w:rPr>
          <w:rFonts w:hint="eastAsia" w:asciiTheme="minorEastAsia" w:hAnsiTheme="minorEastAsia" w:eastAsiaTheme="minorEastAsia"/>
          <w:sz w:val="28"/>
          <w:szCs w:val="28"/>
        </w:rPr>
        <w:t>娱乐</w:t>
      </w:r>
      <w:r>
        <w:rPr>
          <w:rFonts w:asciiTheme="minorEastAsia" w:hAnsiTheme="minorEastAsia" w:eastAsiaTheme="minorEastAsia"/>
          <w:sz w:val="28"/>
          <w:szCs w:val="28"/>
        </w:rPr>
        <w:t>场所、公共图书馆、文化馆、博物馆等文化和旅游领域</w:t>
      </w:r>
      <w:r>
        <w:rPr>
          <w:rFonts w:hint="eastAsia" w:asciiTheme="minorEastAsia" w:hAnsiTheme="minorEastAsia" w:eastAsiaTheme="minorEastAsia"/>
          <w:sz w:val="28"/>
          <w:szCs w:val="28"/>
        </w:rPr>
        <w:t>常态化</w:t>
      </w:r>
      <w:r>
        <w:rPr>
          <w:rFonts w:asciiTheme="minorEastAsia" w:hAnsiTheme="minorEastAsia" w:eastAsiaTheme="minorEastAsia"/>
          <w:sz w:val="28"/>
          <w:szCs w:val="28"/>
        </w:rPr>
        <w:t>疫情防控</w:t>
      </w:r>
      <w:r>
        <w:rPr>
          <w:rFonts w:hint="eastAsia" w:asciiTheme="minorEastAsia" w:hAnsiTheme="minorEastAsia" w:eastAsiaTheme="minorEastAsia"/>
          <w:sz w:val="28"/>
          <w:szCs w:val="28"/>
        </w:rPr>
        <w:t>工作。加强公共文化服务体系建设，组织举办2023年滨海全民阅读节，中新友好图书馆推出“智享U阅”服务项目。创新建立30个滨海新文化志愿者工作室，为基层引进文化人才。坚持活化利用，大沽口炮台遗址博物馆获评首批“大思政课”实践教学基地、2021全国文化遗产旅游百强、首批天津市新时代文明实践基地。实施文化惠民工程，承办第十三届中国艺术节相关赛事活动，原创作品《疫“懂”的心》获第十九届群星奖，举办第九届社区文化艺术节等系列群众性文化活动，促进国家公共文化服务体系示范区创新发展，持续提升城市文明程度和市民文明素质。至年末，全区有文化馆1个，公共图书馆4个，博物馆3个、美术馆1个、街乡镇综合文化站21个。</w:t>
      </w:r>
      <w:r>
        <w:rPr>
          <w:rFonts w:hint="eastAsia" w:ascii="宋体" w:hAnsi="宋体" w:cs="楷体_GB2312"/>
          <w:color w:val="000000"/>
          <w:sz w:val="28"/>
          <w:szCs w:val="28"/>
        </w:rPr>
        <w:t>刘塘庄农家书屋、希望文化书店和读读好书书店、翔实希望书店分别被评为2022年天津市示范农家书屋、最美书店、特色书店。加快建设新型公共文化空间，打造10个新型阅读新空间，其中一汽-大众（天津）企业阅读新空间和天津智慧谷（人工智能）企业阅读新空间获评2022年度天津市示范阅读新空间。</w:t>
      </w:r>
    </w:p>
    <w:p w14:paraId="0AB5FBE9">
      <w:pPr>
        <w:pStyle w:val="2"/>
        <w:ind w:firstLine="560"/>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3626FCD4">
      <w:pPr>
        <w:ind w:firstLine="420"/>
      </w:pPr>
    </w:p>
    <w:p w14:paraId="50CFC3DE">
      <w:pPr>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黑体" w:hAnsi="黑体" w:eastAsia="黑体" w:cstheme="minorBidi"/>
          <w:kern w:val="0"/>
          <w:sz w:val="28"/>
          <w:szCs w:val="28"/>
        </w:rPr>
        <w:t>社会建设</w:t>
      </w:r>
      <w:r>
        <w:rPr>
          <w:rFonts w:hint="eastAsia" w:asciiTheme="minorEastAsia" w:hAnsiTheme="minorEastAsia" w:eastAsiaTheme="minorEastAsia"/>
          <w:sz w:val="28"/>
          <w:szCs w:val="28"/>
        </w:rPr>
        <w:t>】  2022年，滨海新区社会事业全面发展，民生保障持续改善。教育事业。有各级各类学校、幼儿园492所，在校生28.29万人，教职工2.75万人。其中，高职院校1所，在校学生8017人；中职学校13所，在校学生7288人；高中学校32所，在校学生2.98万人；初中学校62所，在校学生5.48万人；小学97所，在校学生12.88万人；特教学校3所，在校学生363人；幼儿园284所，在园幼儿5.38万人。医疗服务。改扩建北京大学滨海医院，加快建设空港医院二期、市中心妇产科医院滨海院区。开展爱国卫生运动，通过国家卫生区复审。管理社区高血压、糖尿病患者26.6万余人，实施天津市妇女儿童健康惠民项目25项。心脑血管疾病初筛2.97万人、大肠癌初筛10.36万人，已婚适龄妇女妇科常见病筛查1.6万人次，肺结核病人报告率100%。体育事业。建成社区健身园127个、社区体育园15个、多功能运动场3个、健身步道3条、笼式足球场2个、社区滑冰场1个。申报等级运动员237人。其中，一级运动员42人，二级运动员183人，三级运动员12人。有等级裁判员369人。其中，国家级18人，一级136人，二级158人，三级57人。居民收入。城镇居民人均可支配收入6.16万元，比上年增长3.4%。其中，工资性收入4.55万元，增长4.6%；经营净收入2191元，下降3.0%；财产净收入4687元，下降4.3%；转移净收入9188元，增长3.1%。城镇居民生活性消费支出3.13万元，下降3.5%。其中，食品烟酒支出1.05万元，增长3.0%；衣着支出3074元，下降6.8%；居住支出5002元，下降16.0%；生活用品及服务支出2218元，下降9.1%；交通通信支出4241元，增长6.0%；教育文化娱乐支出2748元，下降7.6%；医疗保健支出2475元，增长13.4%；其他用品及服务支出1060元，下降24.4%。社会保障。落实新增定点医疗机构开通跨省异地就医直接结算服务常态化机制。开通异地就医门诊结算的定点医疗机构158家、异地就医住院联网结算的定点医疗机构38家，试点开通门诊慢特病异地就医直接结算的医疗机构40家。参加基本医疗保险209.35万人。其中，城镇职工医疗保险参保153.95万人，城乡居民医疗保险参保55.39万人。社会救助。有各类养老机构（含备案运营和在建养老机构）28个，有床位6398张，收养人员1500人。建成社区老年日间照料中心（站）152家，服务床位1200张。城市低保对象6000人，农村低保对象4470人。救助站1个，救助209人次。福利院1个，收养人员110人。残疾人康复服务实施各类康复救助项目，完成白内障救助审批127例，实施复明手术109例。开展残疾人就业援助活动，举办滨海新区残疾人网络专场招聘会，提供就业岗位100个；鼓励残疾人自主创业，向自主创业残疾人发放自主创业补贴，向残疾人个体工商户发放保险补贴。</w:t>
      </w:r>
    </w:p>
    <w:p w14:paraId="54D486B1">
      <w:pPr>
        <w:pStyle w:val="2"/>
        <w:jc w:val="right"/>
        <w:rPr>
          <w:rFonts w:ascii="楷体" w:hAnsi="楷体" w:eastAsia="楷体"/>
          <w:sz w:val="28"/>
          <w:szCs w:val="28"/>
          <w:lang w:eastAsia="zh-CN"/>
        </w:rPr>
      </w:pPr>
      <w:r>
        <w:rPr>
          <w:rFonts w:hint="eastAsia" w:ascii="楷体" w:hAnsi="楷体" w:eastAsia="楷体"/>
          <w:sz w:val="28"/>
          <w:szCs w:val="28"/>
          <w:lang w:eastAsia="zh-CN"/>
        </w:rPr>
        <w:t>（区地方志办）</w:t>
      </w:r>
    </w:p>
    <w:p w14:paraId="1E26F1D9">
      <w:pPr>
        <w:pStyle w:val="2"/>
        <w:jc w:val="right"/>
        <w:rPr>
          <w:rFonts w:ascii="楷体" w:hAnsi="楷体" w:eastAsia="楷体"/>
          <w:sz w:val="28"/>
          <w:szCs w:val="28"/>
          <w:lang w:eastAsia="zh-CN"/>
        </w:rPr>
      </w:pPr>
    </w:p>
    <w:p w14:paraId="198EB8DC">
      <w:pPr>
        <w:rPr>
          <w:rFonts w:ascii="宋体" w:hAnsi="宋体"/>
          <w:sz w:val="28"/>
          <w:szCs w:val="28"/>
        </w:rPr>
      </w:pPr>
      <w:r>
        <w:rPr>
          <w:rFonts w:hint="eastAsia" w:asciiTheme="minorEastAsia" w:hAnsiTheme="minorEastAsia" w:eastAsiaTheme="minorEastAsia"/>
          <w:sz w:val="28"/>
          <w:szCs w:val="28"/>
        </w:rPr>
        <w:t>【</w:t>
      </w:r>
      <w:r>
        <w:rPr>
          <w:rFonts w:hint="eastAsia" w:ascii="黑体" w:hAnsi="黑体" w:eastAsia="黑体"/>
          <w:sz w:val="28"/>
          <w:szCs w:val="28"/>
        </w:rPr>
        <w:t>生态文明</w:t>
      </w:r>
      <w:r>
        <w:rPr>
          <w:rFonts w:hint="eastAsia" w:ascii="黑体" w:hAnsi="黑体" w:eastAsia="黑体" w:cstheme="minorBidi"/>
          <w:kern w:val="0"/>
          <w:sz w:val="28"/>
          <w:szCs w:val="28"/>
        </w:rPr>
        <w:t>建设</w:t>
      </w:r>
      <w:r>
        <w:rPr>
          <w:rFonts w:hint="eastAsia" w:asciiTheme="minorEastAsia" w:hAnsiTheme="minorEastAsia" w:eastAsiaTheme="minorEastAsia"/>
          <w:sz w:val="28"/>
          <w:szCs w:val="28"/>
        </w:rPr>
        <w:t>】  2022年，滨海新区</w:t>
      </w:r>
      <w:r>
        <w:rPr>
          <w:rFonts w:ascii="宋体" w:hAnsi="宋体"/>
          <w:sz w:val="28"/>
          <w:szCs w:val="28"/>
        </w:rPr>
        <w:t>29</w:t>
      </w:r>
      <w:r>
        <w:rPr>
          <w:rFonts w:hint="eastAsia" w:ascii="宋体" w:hAnsi="宋体"/>
          <w:sz w:val="28"/>
          <w:szCs w:val="28"/>
        </w:rPr>
        <w:t>家单位纳入土壤污染重点监管单位名录，完成土壤和地下水自行监测，防控新增土壤污染。重点建设用地安全利用率</w:t>
      </w:r>
      <w:r>
        <w:rPr>
          <w:rFonts w:ascii="宋体" w:hAnsi="宋体"/>
          <w:sz w:val="28"/>
          <w:szCs w:val="28"/>
        </w:rPr>
        <w:t>100%</w:t>
      </w:r>
      <w:r>
        <w:rPr>
          <w:rFonts w:hint="eastAsia" w:ascii="宋体" w:hAnsi="宋体"/>
          <w:sz w:val="28"/>
          <w:szCs w:val="28"/>
        </w:rPr>
        <w:t>。系统治理水污染，启动泰达第一污水处理厂和大港港东污水处理厂尾水湿地净化、生态补水、资源化利用项目。年末</w:t>
      </w:r>
      <w:r>
        <w:rPr>
          <w:rFonts w:ascii="宋体" w:hAnsi="宋体"/>
          <w:sz w:val="28"/>
          <w:szCs w:val="28"/>
        </w:rPr>
        <w:t>16</w:t>
      </w:r>
      <w:r>
        <w:rPr>
          <w:rFonts w:hint="eastAsia" w:ascii="宋体" w:hAnsi="宋体"/>
          <w:sz w:val="28"/>
          <w:szCs w:val="28"/>
        </w:rPr>
        <w:t>个地表水考核断面水质均达标，</w:t>
      </w:r>
      <w:r>
        <w:rPr>
          <w:rFonts w:ascii="宋体" w:hAnsi="宋体"/>
          <w:sz w:val="28"/>
          <w:szCs w:val="28"/>
        </w:rPr>
        <w:t>12</w:t>
      </w:r>
      <w:r>
        <w:rPr>
          <w:rFonts w:hint="eastAsia" w:ascii="宋体" w:hAnsi="宋体"/>
          <w:sz w:val="28"/>
          <w:szCs w:val="28"/>
        </w:rPr>
        <w:t>条入海河流累计水质达到五类及以上，达标率</w:t>
      </w:r>
      <w:r>
        <w:rPr>
          <w:rFonts w:ascii="宋体" w:hAnsi="宋体"/>
          <w:sz w:val="28"/>
          <w:szCs w:val="28"/>
        </w:rPr>
        <w:t>100%</w:t>
      </w:r>
      <w:r>
        <w:rPr>
          <w:rFonts w:hint="eastAsia" w:ascii="宋体" w:hAnsi="宋体"/>
          <w:sz w:val="28"/>
          <w:szCs w:val="28"/>
        </w:rPr>
        <w:t>。空气质量持续改善，新区环境空气质量综合指数</w:t>
      </w:r>
      <w:r>
        <w:rPr>
          <w:rFonts w:ascii="宋体" w:hAnsi="宋体"/>
          <w:sz w:val="28"/>
          <w:szCs w:val="28"/>
        </w:rPr>
        <w:t>4.30</w:t>
      </w:r>
      <w:r>
        <w:rPr>
          <w:rFonts w:hint="eastAsia" w:ascii="宋体" w:hAnsi="宋体"/>
          <w:sz w:val="28"/>
          <w:szCs w:val="28"/>
        </w:rPr>
        <w:t>，比上年改善</w:t>
      </w:r>
      <w:r>
        <w:rPr>
          <w:rFonts w:ascii="宋体" w:hAnsi="宋体"/>
          <w:sz w:val="28"/>
          <w:szCs w:val="28"/>
        </w:rPr>
        <w:t>4.2%</w:t>
      </w:r>
      <w:r>
        <w:rPr>
          <w:rFonts w:hint="eastAsia" w:ascii="宋体" w:hAnsi="宋体"/>
          <w:sz w:val="28"/>
          <w:szCs w:val="28"/>
        </w:rPr>
        <w:t>。全年</w:t>
      </w:r>
      <w:r>
        <w:rPr>
          <w:rFonts w:ascii="宋体" w:hAnsi="宋体"/>
          <w:sz w:val="28"/>
          <w:szCs w:val="28"/>
        </w:rPr>
        <w:t>PM</w:t>
      </w:r>
      <w:r>
        <w:rPr>
          <w:rFonts w:ascii="宋体" w:hAnsi="宋体"/>
          <w:sz w:val="28"/>
          <w:szCs w:val="28"/>
          <w:vertAlign w:val="superscript"/>
        </w:rPr>
        <w:t>2.5</w:t>
      </w:r>
      <w:r>
        <w:rPr>
          <w:rFonts w:hint="eastAsia" w:ascii="宋体" w:hAnsi="宋体"/>
          <w:sz w:val="28"/>
          <w:szCs w:val="28"/>
        </w:rPr>
        <w:t>平均浓度</w:t>
      </w:r>
      <w:r>
        <w:rPr>
          <w:rFonts w:ascii="宋体" w:hAnsi="宋体"/>
          <w:sz w:val="28"/>
          <w:szCs w:val="28"/>
        </w:rPr>
        <w:t>36</w:t>
      </w:r>
      <w:r>
        <w:rPr>
          <w:rFonts w:hint="eastAsia" w:ascii="宋体" w:hAnsi="宋体"/>
          <w:sz w:val="28"/>
          <w:szCs w:val="28"/>
        </w:rPr>
        <w:t>微克</w:t>
      </w:r>
      <w:r>
        <w:rPr>
          <w:rFonts w:ascii="宋体" w:hAnsi="宋体"/>
          <w:sz w:val="28"/>
          <w:szCs w:val="28"/>
        </w:rPr>
        <w:t>/</w:t>
      </w:r>
      <w:r>
        <w:rPr>
          <w:rFonts w:hint="eastAsia" w:ascii="宋体" w:hAnsi="宋体"/>
          <w:sz w:val="28"/>
          <w:szCs w:val="28"/>
        </w:rPr>
        <w:t>立方米，比上年改善</w:t>
      </w:r>
      <w:r>
        <w:rPr>
          <w:rFonts w:ascii="宋体" w:hAnsi="宋体"/>
          <w:sz w:val="28"/>
          <w:szCs w:val="28"/>
        </w:rPr>
        <w:t>5.3%</w:t>
      </w:r>
      <w:r>
        <w:rPr>
          <w:rFonts w:hint="eastAsia" w:ascii="宋体" w:hAnsi="宋体"/>
          <w:sz w:val="28"/>
          <w:szCs w:val="28"/>
        </w:rPr>
        <w:t>。环境空气质量达标天数</w:t>
      </w:r>
      <w:r>
        <w:rPr>
          <w:rFonts w:ascii="宋体" w:hAnsi="宋体"/>
          <w:sz w:val="28"/>
          <w:szCs w:val="28"/>
        </w:rPr>
        <w:t>278</w:t>
      </w:r>
      <w:r>
        <w:rPr>
          <w:rFonts w:hint="eastAsia" w:ascii="宋体" w:hAnsi="宋体"/>
          <w:sz w:val="28"/>
          <w:szCs w:val="28"/>
        </w:rPr>
        <w:t>天，比上年增加</w:t>
      </w:r>
      <w:r>
        <w:rPr>
          <w:rFonts w:ascii="宋体" w:hAnsi="宋体"/>
          <w:sz w:val="28"/>
          <w:szCs w:val="28"/>
        </w:rPr>
        <w:t>13</w:t>
      </w:r>
      <w:r>
        <w:rPr>
          <w:rFonts w:hint="eastAsia" w:ascii="宋体" w:hAnsi="宋体"/>
          <w:sz w:val="28"/>
          <w:szCs w:val="28"/>
        </w:rPr>
        <w:t>天。水环境质量整体稳定，</w:t>
      </w:r>
      <w:r>
        <w:rPr>
          <w:rFonts w:ascii="宋体" w:hAnsi="宋体"/>
          <w:sz w:val="28"/>
          <w:szCs w:val="28"/>
        </w:rPr>
        <w:t>2022</w:t>
      </w:r>
      <w:r>
        <w:rPr>
          <w:rFonts w:hint="eastAsia" w:ascii="宋体" w:hAnsi="宋体"/>
          <w:sz w:val="28"/>
          <w:szCs w:val="28"/>
        </w:rPr>
        <w:t>年水环境质量综合指数</w:t>
      </w:r>
      <w:r>
        <w:rPr>
          <w:rFonts w:ascii="宋体" w:hAnsi="宋体"/>
          <w:sz w:val="28"/>
          <w:szCs w:val="28"/>
        </w:rPr>
        <w:t>1.70</w:t>
      </w:r>
      <w:r>
        <w:rPr>
          <w:rFonts w:hint="eastAsia" w:ascii="宋体" w:hAnsi="宋体"/>
          <w:sz w:val="28"/>
          <w:szCs w:val="28"/>
        </w:rPr>
        <w:t>，比上年改善</w:t>
      </w:r>
      <w:r>
        <w:rPr>
          <w:rFonts w:ascii="宋体" w:hAnsi="宋体"/>
          <w:sz w:val="28"/>
          <w:szCs w:val="28"/>
        </w:rPr>
        <w:t>6.7%</w:t>
      </w:r>
      <w:r>
        <w:rPr>
          <w:rFonts w:hint="eastAsia" w:ascii="宋体" w:hAnsi="宋体"/>
          <w:sz w:val="28"/>
          <w:szCs w:val="28"/>
        </w:rPr>
        <w:t>。城市饮用水源地水质达标率</w:t>
      </w:r>
      <w:r>
        <w:rPr>
          <w:rFonts w:ascii="宋体" w:hAnsi="宋体"/>
          <w:sz w:val="28"/>
          <w:szCs w:val="28"/>
        </w:rPr>
        <w:t>100%</w:t>
      </w:r>
      <w:r>
        <w:rPr>
          <w:rFonts w:hint="eastAsia" w:ascii="宋体" w:hAnsi="宋体"/>
          <w:sz w:val="28"/>
          <w:szCs w:val="28"/>
        </w:rPr>
        <w:t>，全年自来水供水量</w:t>
      </w:r>
      <w:r>
        <w:rPr>
          <w:rFonts w:ascii="宋体" w:hAnsi="宋体"/>
          <w:sz w:val="28"/>
          <w:szCs w:val="28"/>
        </w:rPr>
        <w:t>2</w:t>
      </w:r>
      <w:r>
        <w:rPr>
          <w:rFonts w:hint="eastAsia" w:ascii="宋体" w:hAnsi="宋体"/>
          <w:sz w:val="28"/>
          <w:szCs w:val="28"/>
        </w:rPr>
        <w:t>.</w:t>
      </w:r>
      <w:r>
        <w:rPr>
          <w:rFonts w:ascii="宋体" w:hAnsi="宋体"/>
          <w:sz w:val="28"/>
          <w:szCs w:val="28"/>
        </w:rPr>
        <w:t>7</w:t>
      </w:r>
      <w:r>
        <w:rPr>
          <w:rFonts w:hint="eastAsia" w:ascii="宋体" w:hAnsi="宋体"/>
          <w:sz w:val="28"/>
          <w:szCs w:val="28"/>
        </w:rPr>
        <w:t>9亿立方米。全区有天津市北大港湿地自然保护区、天津古海岸与湿地国家级自然保护区两个自然保护区，总面积</w:t>
      </w:r>
      <w:r>
        <w:rPr>
          <w:rFonts w:ascii="宋体" w:hAnsi="宋体"/>
          <w:sz w:val="28"/>
          <w:szCs w:val="28"/>
        </w:rPr>
        <w:t>371.42</w:t>
      </w:r>
      <w:r>
        <w:rPr>
          <w:rFonts w:hint="eastAsia" w:ascii="宋体" w:hAnsi="宋体"/>
          <w:sz w:val="28"/>
          <w:szCs w:val="28"/>
        </w:rPr>
        <w:t>平方</w:t>
      </w:r>
      <w:r>
        <w:rPr>
          <w:rFonts w:hint="eastAsia" w:asciiTheme="minorEastAsia" w:hAnsiTheme="minorEastAsia" w:eastAsiaTheme="minorEastAsia"/>
          <w:sz w:val="28"/>
          <w:szCs w:val="28"/>
        </w:rPr>
        <w:t>千米</w:t>
      </w:r>
      <w:r>
        <w:rPr>
          <w:rFonts w:hint="eastAsia" w:ascii="宋体" w:hAnsi="宋体"/>
          <w:sz w:val="28"/>
          <w:szCs w:val="28"/>
        </w:rPr>
        <w:t>。</w:t>
      </w:r>
    </w:p>
    <w:p w14:paraId="038C0C4A">
      <w:pPr>
        <w:pStyle w:val="2"/>
        <w:ind w:left="1053"/>
        <w:rPr>
          <w:rFonts w:hint="eastAsia"/>
          <w:sz w:val="20"/>
        </w:rPr>
      </w:pPr>
      <w:r>
        <w:rPr>
          <w:rFonts w:hint="eastAsia" w:ascii="楷体" w:hAnsi="楷体" w:eastAsia="楷体"/>
          <w:sz w:val="28"/>
          <w:szCs w:val="28"/>
          <w:lang w:eastAsia="zh-CN"/>
        </w:rPr>
        <w:t>（区地方志办）</w:t>
      </w:r>
      <w:bookmarkStart w:id="0" w:name="_GoBack"/>
      <w:bookmarkEnd w:id="0"/>
    </w:p>
    <w:sectPr>
      <w:headerReference r:id="rId5" w:type="default"/>
      <w:footerReference r:id="rId7" w:type="default"/>
      <w:headerReference r:id="rId6" w:type="even"/>
      <w:footerReference r:id="rId8" w:type="even"/>
      <w:pgSz w:w="11910" w:h="16160"/>
      <w:pgMar w:top="1180" w:right="0" w:bottom="960" w:left="80" w:header="944" w:footer="7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altName w:val="微软雅黑"/>
    <w:panose1 w:val="02000000000000000000"/>
    <w:charset w:val="86"/>
    <w:family w:val="script"/>
    <w:pitch w:val="default"/>
    <w:sig w:usb0="00000000" w:usb1="00000000" w:usb2="00000000" w:usb3="00000000" w:csb0="00040000" w:csb1="00000000"/>
  </w:font>
  <w:font w:name="方正准圆简体">
    <w:altName w:val="宋体"/>
    <w:panose1 w:val="03000509000000000000"/>
    <w:charset w:val="86"/>
    <w:family w:val="script"/>
    <w:pitch w:val="default"/>
    <w:sig w:usb0="00000000" w:usb1="00000000" w:usb2="00000000" w:usb3="00000000" w:csb0="00040000" w:csb1="00000000"/>
  </w:font>
  <w:font w:name="方正细黑一_GBK">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00" w:usb3="00000000" w:csb0="00040000" w:csb1="00000000"/>
  </w:font>
  <w:font w:name="汉仪中宋简">
    <w:altName w:val="宋体"/>
    <w:panose1 w:val="02010600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486A">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6593840</wp:posOffset>
              </wp:positionH>
              <wp:positionV relativeFrom="page">
                <wp:posOffset>9634220</wp:posOffset>
              </wp:positionV>
              <wp:extent cx="249555" cy="179070"/>
              <wp:effectExtent l="0" t="0" r="0" b="0"/>
              <wp:wrapNone/>
              <wp:docPr id="16" name="文本框 198"/>
              <wp:cNvGraphicFramePr/>
              <a:graphic xmlns:a="http://schemas.openxmlformats.org/drawingml/2006/main">
                <a:graphicData uri="http://schemas.microsoft.com/office/word/2010/wordprocessingShape">
                  <wps:wsp>
                    <wps:cNvSpPr txBox="1"/>
                    <wps:spPr>
                      <a:xfrm>
                        <a:off x="0" y="0"/>
                        <a:ext cx="249555" cy="179070"/>
                      </a:xfrm>
                      <a:prstGeom prst="rect">
                        <a:avLst/>
                      </a:prstGeom>
                      <a:noFill/>
                      <a:ln>
                        <a:noFill/>
                      </a:ln>
                    </wps:spPr>
                    <wps:txbx>
                      <w:txbxContent>
                        <w:p w14:paraId="4178363E">
                          <w:pPr>
                            <w:spacing w:before="0" w:line="281" w:lineRule="exact"/>
                            <w:ind w:left="40" w:right="0" w:firstLine="0"/>
                            <w:jc w:val="left"/>
                            <w:rPr>
                              <w:sz w:val="21"/>
                            </w:rPr>
                          </w:pPr>
                          <w:r>
                            <w:fldChar w:fldCharType="begin"/>
                          </w:r>
                          <w:r>
                            <w:rPr>
                              <w:sz w:val="21"/>
                            </w:rPr>
                            <w:instrText xml:space="preserve"> PAGE </w:instrText>
                          </w:r>
                          <w:r>
                            <w:fldChar w:fldCharType="separate"/>
                          </w:r>
                          <w:r>
                            <w:t>379</w:t>
                          </w:r>
                          <w:r>
                            <w:fldChar w:fldCharType="end"/>
                          </w:r>
                        </w:p>
                      </w:txbxContent>
                    </wps:txbx>
                    <wps:bodyPr lIns="0" tIns="0" rIns="0" bIns="0" upright="1"/>
                  </wps:wsp>
                </a:graphicData>
              </a:graphic>
            </wp:anchor>
          </w:drawing>
        </mc:Choice>
        <mc:Fallback>
          <w:pict>
            <v:shape id="文本框 198" o:spid="_x0000_s1026" o:spt="202" type="#_x0000_t202" style="position:absolute;left:0pt;margin-left:519.2pt;margin-top:758.6pt;height:14.1pt;width:19.65pt;mso-position-horizontal-relative:page;mso-position-vertical-relative:page;z-index:-251657216;mso-width-relative:page;mso-height-relative:page;" filled="f" stroked="f" coordsize="21600,21600" o:gfxdata="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krkQNwAAAAPAQAADwAAAAAAAAABACAAAAAiAAAAZHJzL2Rvd25yZXYu&#10;eG1sUEsBAhQAFAAAAAgAh07iQAVwdya+AQAAdAMAAA4AAAAAAAAAAQAgAAAAKwEAAGRycy9lMm9E&#10;b2MueG1sUEsFBgAAAAAGAAYAWQEAAFsFAAAAAA==&#10;">
              <v:fill on="f" focussize="0,0"/>
              <v:stroke on="f"/>
              <v:imagedata o:title=""/>
              <o:lock v:ext="edit" aspectratio="f"/>
              <v:textbox inset="0mm,0mm,0mm,0mm">
                <w:txbxContent>
                  <w:p w14:paraId="4178363E">
                    <w:pPr>
                      <w:spacing w:before="0" w:line="281" w:lineRule="exact"/>
                      <w:ind w:left="40" w:right="0" w:firstLine="0"/>
                      <w:jc w:val="left"/>
                      <w:rPr>
                        <w:sz w:val="21"/>
                      </w:rPr>
                    </w:pPr>
                    <w:r>
                      <w:fldChar w:fldCharType="begin"/>
                    </w:r>
                    <w:r>
                      <w:rPr>
                        <w:sz w:val="21"/>
                      </w:rPr>
                      <w:instrText xml:space="preserve"> PAGE </w:instrText>
                    </w:r>
                    <w:r>
                      <w:fldChar w:fldCharType="separate"/>
                    </w:r>
                    <w:r>
                      <w:t>379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45DD">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716280</wp:posOffset>
              </wp:positionH>
              <wp:positionV relativeFrom="page">
                <wp:posOffset>9634220</wp:posOffset>
              </wp:positionV>
              <wp:extent cx="249555" cy="179070"/>
              <wp:effectExtent l="0" t="0" r="0" b="0"/>
              <wp:wrapNone/>
              <wp:docPr id="18" name="文本框 199"/>
              <wp:cNvGraphicFramePr/>
              <a:graphic xmlns:a="http://schemas.openxmlformats.org/drawingml/2006/main">
                <a:graphicData uri="http://schemas.microsoft.com/office/word/2010/wordprocessingShape">
                  <wps:wsp>
                    <wps:cNvSpPr txBox="1"/>
                    <wps:spPr>
                      <a:xfrm>
                        <a:off x="0" y="0"/>
                        <a:ext cx="249555" cy="179070"/>
                      </a:xfrm>
                      <a:prstGeom prst="rect">
                        <a:avLst/>
                      </a:prstGeom>
                      <a:noFill/>
                      <a:ln>
                        <a:noFill/>
                      </a:ln>
                    </wps:spPr>
                    <wps:txbx>
                      <w:txbxContent>
                        <w:p w14:paraId="119624D0">
                          <w:pPr>
                            <w:spacing w:before="0" w:line="281" w:lineRule="exact"/>
                            <w:ind w:left="40" w:right="0" w:firstLine="0"/>
                            <w:jc w:val="left"/>
                            <w:rPr>
                              <w:sz w:val="21"/>
                            </w:rPr>
                          </w:pPr>
                          <w:r>
                            <w:fldChar w:fldCharType="begin"/>
                          </w:r>
                          <w:r>
                            <w:rPr>
                              <w:sz w:val="21"/>
                            </w:rPr>
                            <w:instrText xml:space="preserve"> PAGE </w:instrText>
                          </w:r>
                          <w:r>
                            <w:fldChar w:fldCharType="separate"/>
                          </w:r>
                          <w:r>
                            <w:t>380</w:t>
                          </w:r>
                          <w:r>
                            <w:fldChar w:fldCharType="end"/>
                          </w:r>
                        </w:p>
                      </w:txbxContent>
                    </wps:txbx>
                    <wps:bodyPr lIns="0" tIns="0" rIns="0" bIns="0" upright="1"/>
                  </wps:wsp>
                </a:graphicData>
              </a:graphic>
            </wp:anchor>
          </w:drawing>
        </mc:Choice>
        <mc:Fallback>
          <w:pict>
            <v:shape id="文本框 199" o:spid="_x0000_s1026" o:spt="202" type="#_x0000_t202" style="position:absolute;left:0pt;margin-left:56.4pt;margin-top:758.6pt;height:14.1pt;width:19.65pt;mso-position-horizontal-relative:page;mso-position-vertical-relative:page;z-index:-251657216;mso-width-relative:page;mso-height-relative:page;" filled="f" stroked="f" coordsize="21600,21600" o:gfxdata="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9VyRdoAAAANAQAADwAAAAAAAAABACAAAAAiAAAAZHJzL2Rvd25yZXYueG1s&#10;UEsBAhQAFAAAAAgAh07iQMJfbku9AQAAdAMAAA4AAAAAAAAAAQAgAAAAKQEAAGRycy9lMm9Eb2Mu&#10;eG1sUEsFBgAAAAAGAAYAWQEAAFgFAAAAAA==&#10;">
              <v:fill on="f" focussize="0,0"/>
              <v:stroke on="f"/>
              <v:imagedata o:title=""/>
              <o:lock v:ext="edit" aspectratio="f"/>
              <v:textbox inset="0mm,0mm,0mm,0mm">
                <w:txbxContent>
                  <w:p w14:paraId="119624D0">
                    <w:pPr>
                      <w:spacing w:before="0" w:line="281" w:lineRule="exact"/>
                      <w:ind w:left="40" w:right="0" w:firstLine="0"/>
                      <w:jc w:val="left"/>
                      <w:rPr>
                        <w:sz w:val="21"/>
                      </w:rPr>
                    </w:pPr>
                    <w:r>
                      <w:fldChar w:fldCharType="begin"/>
                    </w:r>
                    <w:r>
                      <w:rPr>
                        <w:sz w:val="21"/>
                      </w:rPr>
                      <w:instrText xml:space="preserve"> PAGE </w:instrText>
                    </w:r>
                    <w:r>
                      <w:fldChar w:fldCharType="separate"/>
                    </w:r>
                    <w:r>
                      <w:t>380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DBFA">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6451600</wp:posOffset>
              </wp:positionH>
              <wp:positionV relativeFrom="page">
                <wp:posOffset>591820</wp:posOffset>
              </wp:positionV>
              <wp:extent cx="401320" cy="175260"/>
              <wp:effectExtent l="0" t="0" r="0" b="0"/>
              <wp:wrapNone/>
              <wp:docPr id="15" name="文本框 201"/>
              <wp:cNvGraphicFramePr/>
              <a:graphic xmlns:a="http://schemas.openxmlformats.org/drawingml/2006/main">
                <a:graphicData uri="http://schemas.microsoft.com/office/word/2010/wordprocessingShape">
                  <wps:wsp>
                    <wps:cNvSpPr txBox="1"/>
                    <wps:spPr>
                      <a:xfrm>
                        <a:off x="0" y="0"/>
                        <a:ext cx="401320" cy="175260"/>
                      </a:xfrm>
                      <a:prstGeom prst="rect">
                        <a:avLst/>
                      </a:prstGeom>
                      <a:noFill/>
                      <a:ln>
                        <a:noFill/>
                      </a:ln>
                    </wps:spPr>
                    <wps:txbx>
                      <w:txbxContent>
                        <w:p w14:paraId="09544344">
                          <w:pPr>
                            <w:pStyle w:val="2"/>
                            <w:tabs>
                              <w:tab w:val="left" w:pos="419"/>
                            </w:tabs>
                            <w:spacing w:line="276" w:lineRule="exact"/>
                            <w:ind w:left="20"/>
                            <w:rPr>
                              <w:rFonts w:hint="eastAsia" w:ascii="方正正中黑简体" w:eastAsia="方正正中黑简体"/>
                            </w:rPr>
                          </w:pPr>
                          <w:r>
                            <w:rPr>
                              <w:rFonts w:hint="eastAsia" w:ascii="方正正中黑简体" w:eastAsia="方正正中黑简体"/>
                              <w:color w:val="1F2B61"/>
                            </w:rPr>
                            <w:t>索</w:t>
                          </w:r>
                          <w:r>
                            <w:rPr>
                              <w:rFonts w:hint="eastAsia" w:ascii="方正正中黑简体" w:eastAsia="方正正中黑简体"/>
                              <w:color w:val="1F2B61"/>
                            </w:rPr>
                            <w:tab/>
                          </w:r>
                          <w:r>
                            <w:rPr>
                              <w:rFonts w:hint="eastAsia" w:ascii="方正正中黑简体" w:eastAsia="方正正中黑简体"/>
                              <w:color w:val="1F2B61"/>
                            </w:rPr>
                            <w:t>引</w:t>
                          </w:r>
                        </w:p>
                      </w:txbxContent>
                    </wps:txbx>
                    <wps:bodyPr lIns="0" tIns="0" rIns="0" bIns="0" upright="1"/>
                  </wps:wsp>
                </a:graphicData>
              </a:graphic>
            </wp:anchor>
          </w:drawing>
        </mc:Choice>
        <mc:Fallback>
          <w:pict>
            <v:shape id="文本框 201" o:spid="_x0000_s1026" o:spt="202" type="#_x0000_t202" style="position:absolute;left:0pt;margin-left:508pt;margin-top:46.6pt;height:13.8pt;width:31.6pt;mso-position-horizontal-relative:page;mso-position-vertical-relative:page;z-index:-251657216;mso-width-relative:page;mso-height-relative:page;" filled="f" stroked="f" coordsize="21600,21600" o:gfxdata="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3PLXp2AAAAAwBAAAPAAAAAAAAAAEAIAAAACIAAABkcnMvZG93bnJldi54bWxQSwEC&#10;FAAUAAAACACHTuJA+HKldrsBAAB0AwAADgAAAAAAAAABACAAAAAnAQAAZHJzL2Uyb0RvYy54bWxQ&#10;SwUGAAAAAAYABgBZAQAAVAUAAAAA&#10;">
              <v:fill on="f" focussize="0,0"/>
              <v:stroke on="f"/>
              <v:imagedata o:title=""/>
              <o:lock v:ext="edit" aspectratio="f"/>
              <v:textbox inset="0mm,0mm,0mm,0mm">
                <w:txbxContent>
                  <w:p w14:paraId="09544344">
                    <w:pPr>
                      <w:pStyle w:val="2"/>
                      <w:tabs>
                        <w:tab w:val="left" w:pos="419"/>
                      </w:tabs>
                      <w:spacing w:line="276" w:lineRule="exact"/>
                      <w:ind w:left="20"/>
                      <w:rPr>
                        <w:rFonts w:hint="eastAsia" w:ascii="方正正中黑简体" w:eastAsia="方正正中黑简体"/>
                      </w:rPr>
                    </w:pPr>
                    <w:r>
                      <w:rPr>
                        <w:rFonts w:hint="eastAsia" w:ascii="方正正中黑简体" w:eastAsia="方正正中黑简体"/>
                        <w:color w:val="1F2B61"/>
                      </w:rPr>
                      <w:t>索</w:t>
                    </w:r>
                    <w:r>
                      <w:rPr>
                        <w:rFonts w:hint="eastAsia" w:ascii="方正正中黑简体" w:eastAsia="方正正中黑简体"/>
                        <w:color w:val="1F2B61"/>
                      </w:rPr>
                      <w:tab/>
                    </w:r>
                    <w:r>
                      <w:rPr>
                        <w:rFonts w:hint="eastAsia" w:ascii="方正正中黑简体" w:eastAsia="方正正中黑简体"/>
                        <w:color w:val="1F2B61"/>
                      </w:rPr>
                      <w:t>引</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02C5">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586105</wp:posOffset>
              </wp:positionV>
              <wp:extent cx="1701165" cy="182880"/>
              <wp:effectExtent l="0" t="0" r="0" b="0"/>
              <wp:wrapNone/>
              <wp:docPr id="17" name="文本框 200"/>
              <wp:cNvGraphicFramePr/>
              <a:graphic xmlns:a="http://schemas.openxmlformats.org/drawingml/2006/main">
                <a:graphicData uri="http://schemas.microsoft.com/office/word/2010/wordprocessingShape">
                  <wps:wsp>
                    <wps:cNvSpPr txBox="1"/>
                    <wps:spPr>
                      <a:xfrm>
                        <a:off x="0" y="0"/>
                        <a:ext cx="1701165" cy="182880"/>
                      </a:xfrm>
                      <a:prstGeom prst="rect">
                        <a:avLst/>
                      </a:prstGeom>
                      <a:noFill/>
                      <a:ln>
                        <a:noFill/>
                      </a:ln>
                    </wps:spPr>
                    <wps:txbx>
                      <w:txbxContent>
                        <w:p w14:paraId="609A4CA0">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wps:txbx>
                    <wps:bodyPr lIns="0" tIns="0" rIns="0" bIns="0" upright="1"/>
                  </wps:wsp>
                </a:graphicData>
              </a:graphic>
            </wp:anchor>
          </w:drawing>
        </mc:Choice>
        <mc:Fallback>
          <w:pict>
            <v:shape id="文本框 200" o:spid="_x0000_s1026" o:spt="202" type="#_x0000_t202" style="position:absolute;left:0pt;margin-left:55.65pt;margin-top:46.15pt;height:14.4pt;width:133.95pt;mso-position-horizontal-relative:page;mso-position-vertical-relative:page;z-index:-251657216;mso-width-relative:page;mso-height-relative:page;" filled="f" stroked="f" coordsize="21600,21600" o:gfxdata="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eSJdgAAAAKAQAADwAAAAAAAAABACAAAAAiAAAAZHJzL2Rvd25yZXYueG1sUEsB&#10;AhQAFAAAAAgAh07iQMG9aii8AQAAdQMAAA4AAAAAAAAAAQAgAAAAJwEAAGRycy9lMm9Eb2MueG1s&#10;UEsFBgAAAAAGAAYAWQEAAFUFAAAAAA==&#10;">
              <v:fill on="f" focussize="0,0"/>
              <v:stroke on="f"/>
              <v:imagedata o:title=""/>
              <o:lock v:ext="edit" aspectratio="f"/>
              <v:textbox inset="0mm,0mm,0mm,0mm">
                <w:txbxContent>
                  <w:p w14:paraId="609A4CA0">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1F2B61"/>
                        <w:sz w:val="20"/>
                      </w:rPr>
                      <w:t>天津滨海新区年鉴（2023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ZDUxNGZhNGRiZTlhYTdhNmYyMTZhYmRmZjg0OWMifQ=="/>
  </w:docVars>
  <w:rsids>
    <w:rsidRoot w:val="00000000"/>
    <w:rsid w:val="09FC086D"/>
    <w:rsid w:val="1A042607"/>
    <w:rsid w:val="2FF6C536"/>
    <w:rsid w:val="5C9806D1"/>
    <w:rsid w:val="6F9FE218"/>
    <w:rsid w:val="7B37CD52"/>
    <w:rsid w:val="7F7F3AC9"/>
    <w:rsid w:val="7FDFE741"/>
    <w:rsid w:val="7FFF5D5D"/>
    <w:rsid w:val="7FFF83BF"/>
    <w:rsid w:val="BDBF187B"/>
    <w:rsid w:val="CD596A1D"/>
    <w:rsid w:val="EBF526E1"/>
    <w:rsid w:val="FEFBD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zh-CN" w:eastAsia="zh-CN" w:bidi="zh-CN"/>
    </w:rPr>
  </w:style>
  <w:style w:type="paragraph" w:styleId="3">
    <w:name w:val="heading 1"/>
    <w:basedOn w:val="1"/>
    <w:next w:val="1"/>
    <w:qFormat/>
    <w:uiPriority w:val="1"/>
    <w:pPr>
      <w:spacing w:before="202"/>
      <w:outlineLvl w:val="1"/>
    </w:pPr>
    <w:rPr>
      <w:rFonts w:ascii="方正准圆简体" w:hAnsi="方正准圆简体" w:eastAsia="方正准圆简体" w:cs="方正准圆简体"/>
      <w:sz w:val="32"/>
      <w:szCs w:val="32"/>
      <w:lang w:val="zh-CN" w:eastAsia="zh-CN" w:bidi="zh-CN"/>
    </w:rPr>
  </w:style>
  <w:style w:type="paragraph" w:styleId="4">
    <w:name w:val="heading 2"/>
    <w:basedOn w:val="1"/>
    <w:next w:val="1"/>
    <w:qFormat/>
    <w:uiPriority w:val="1"/>
    <w:pPr>
      <w:ind w:left="2287"/>
      <w:outlineLvl w:val="2"/>
    </w:pPr>
    <w:rPr>
      <w:rFonts w:ascii="黑体" w:hAnsi="黑体" w:eastAsia="黑体" w:cs="黑体"/>
      <w:sz w:val="26"/>
      <w:szCs w:val="26"/>
      <w:lang w:val="zh-CN" w:eastAsia="zh-CN" w:bidi="zh-CN"/>
    </w:rPr>
  </w:style>
  <w:style w:type="paragraph" w:styleId="5">
    <w:name w:val="heading 3"/>
    <w:basedOn w:val="1"/>
    <w:next w:val="1"/>
    <w:qFormat/>
    <w:uiPriority w:val="1"/>
    <w:pPr>
      <w:jc w:val="center"/>
      <w:outlineLvl w:val="3"/>
    </w:pPr>
    <w:rPr>
      <w:rFonts w:ascii="方正大标宋_GBK" w:hAnsi="方正大标宋_GBK" w:eastAsia="方正大标宋_GBK" w:cs="方正大标宋_GBK"/>
      <w:sz w:val="24"/>
      <w:szCs w:val="24"/>
      <w:lang w:val="zh-CN" w:eastAsia="zh-CN" w:bidi="zh-CN"/>
    </w:rPr>
  </w:style>
  <w:style w:type="paragraph" w:styleId="6">
    <w:name w:val="heading 4"/>
    <w:basedOn w:val="1"/>
    <w:next w:val="1"/>
    <w:qFormat/>
    <w:uiPriority w:val="1"/>
    <w:pPr>
      <w:ind w:left="2015"/>
      <w:outlineLvl w:val="4"/>
    </w:pPr>
    <w:rPr>
      <w:rFonts w:ascii="汉仪中宋简" w:hAnsi="汉仪中宋简" w:eastAsia="汉仪中宋简" w:cs="汉仪中宋简"/>
      <w:sz w:val="22"/>
      <w:szCs w:val="22"/>
      <w:lang w:val="zh-CN" w:eastAsia="zh-CN" w:bidi="zh-CN"/>
    </w:rPr>
  </w:style>
  <w:style w:type="paragraph" w:styleId="7">
    <w:name w:val="heading 5"/>
    <w:basedOn w:val="1"/>
    <w:next w:val="1"/>
    <w:qFormat/>
    <w:uiPriority w:val="1"/>
    <w:pPr>
      <w:spacing w:line="281" w:lineRule="exact"/>
      <w:ind w:left="40"/>
      <w:outlineLvl w:val="5"/>
    </w:pPr>
    <w:rPr>
      <w:rFonts w:ascii="黑体" w:hAnsi="黑体" w:eastAsia="黑体" w:cs="黑体"/>
      <w:sz w:val="21"/>
      <w:szCs w:val="21"/>
      <w:lang w:val="zh-CN" w:eastAsia="zh-CN" w:bidi="zh-CN"/>
    </w:rPr>
  </w:style>
  <w:style w:type="paragraph" w:styleId="8">
    <w:name w:val="heading 6"/>
    <w:basedOn w:val="1"/>
    <w:next w:val="1"/>
    <w:qFormat/>
    <w:uiPriority w:val="1"/>
    <w:pPr>
      <w:spacing w:before="44"/>
      <w:ind w:left="1053"/>
      <w:outlineLvl w:val="6"/>
    </w:pPr>
    <w:rPr>
      <w:rFonts w:ascii="宋体" w:hAnsi="宋体" w:eastAsia="宋体" w:cs="宋体"/>
      <w:sz w:val="20"/>
      <w:szCs w:val="20"/>
      <w:lang w:val="zh-CN" w:eastAsia="zh-CN" w:bidi="zh-CN"/>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书宋_GBK" w:hAnsi="方正书宋_GBK" w:eastAsia="方正书宋_GBK" w:cs="方正书宋_GBK"/>
      <w:sz w:val="19"/>
      <w:szCs w:val="19"/>
      <w:lang w:val="zh-CN" w:eastAsia="zh-CN" w:bidi="zh-CN"/>
    </w:rPr>
  </w:style>
  <w:style w:type="paragraph" w:styleId="9">
    <w:name w:val="toc 7"/>
    <w:basedOn w:val="1"/>
    <w:next w:val="1"/>
    <w:qFormat/>
    <w:uiPriority w:val="1"/>
    <w:pPr>
      <w:spacing w:before="44"/>
      <w:ind w:left="1280"/>
      <w:jc w:val="center"/>
    </w:pPr>
    <w:rPr>
      <w:rFonts w:ascii="仿宋_GB2312" w:hAnsi="仿宋_GB2312" w:eastAsia="仿宋_GB2312" w:cs="仿宋_GB2312"/>
      <w:sz w:val="20"/>
      <w:szCs w:val="20"/>
      <w:lang w:val="zh-CN" w:eastAsia="zh-CN" w:bidi="zh-CN"/>
    </w:rPr>
  </w:style>
  <w:style w:type="paragraph" w:styleId="10">
    <w:name w:val="toc 5"/>
    <w:basedOn w:val="1"/>
    <w:next w:val="1"/>
    <w:qFormat/>
    <w:uiPriority w:val="1"/>
    <w:pPr>
      <w:spacing w:before="287"/>
      <w:ind w:left="1167"/>
      <w:jc w:val="center"/>
    </w:pPr>
    <w:rPr>
      <w:rFonts w:ascii="华文中宋" w:hAnsi="华文中宋" w:eastAsia="华文中宋" w:cs="华文中宋"/>
      <w:sz w:val="28"/>
      <w:szCs w:val="28"/>
      <w:lang w:val="zh-CN" w:eastAsia="zh-CN" w:bidi="zh-CN"/>
    </w:rPr>
  </w:style>
  <w:style w:type="paragraph" w:styleId="11">
    <w:name w:val="toc 3"/>
    <w:basedOn w:val="1"/>
    <w:next w:val="1"/>
    <w:qFormat/>
    <w:uiPriority w:val="1"/>
    <w:pPr>
      <w:spacing w:before="44"/>
      <w:ind w:left="753"/>
    </w:pPr>
    <w:rPr>
      <w:rFonts w:ascii="仿宋_GB2312" w:hAnsi="仿宋_GB2312" w:eastAsia="仿宋_GB2312" w:cs="仿宋_GB2312"/>
      <w:sz w:val="20"/>
      <w:szCs w:val="20"/>
      <w:lang w:val="zh-CN" w:eastAsia="zh-CN" w:bidi="zh-CN"/>
    </w:rPr>
  </w:style>
  <w:style w:type="paragraph" w:styleId="12">
    <w:name w:val="Plain Text"/>
    <w:basedOn w:val="1"/>
    <w:qFormat/>
    <w:uiPriority w:val="0"/>
    <w:rPr>
      <w:rFonts w:ascii="宋体" w:hAnsi="Courier New" w:cs="Courier New"/>
    </w:rPr>
  </w:style>
  <w:style w:type="paragraph" w:styleId="13">
    <w:name w:val="toc 1"/>
    <w:basedOn w:val="1"/>
    <w:next w:val="1"/>
    <w:qFormat/>
    <w:uiPriority w:val="1"/>
    <w:pPr>
      <w:spacing w:before="288"/>
      <w:ind w:right="588"/>
      <w:jc w:val="center"/>
    </w:pPr>
    <w:rPr>
      <w:rFonts w:ascii="华文中宋" w:hAnsi="华文中宋" w:eastAsia="华文中宋" w:cs="华文中宋"/>
      <w:sz w:val="28"/>
      <w:szCs w:val="28"/>
      <w:lang w:val="zh-CN" w:eastAsia="zh-CN" w:bidi="zh-CN"/>
    </w:rPr>
  </w:style>
  <w:style w:type="paragraph" w:styleId="14">
    <w:name w:val="toc 4"/>
    <w:basedOn w:val="1"/>
    <w:next w:val="1"/>
    <w:qFormat/>
    <w:uiPriority w:val="1"/>
    <w:pPr>
      <w:spacing w:before="44"/>
      <w:ind w:left="1053"/>
    </w:pPr>
    <w:rPr>
      <w:rFonts w:ascii="宋体" w:hAnsi="宋体" w:eastAsia="宋体" w:cs="宋体"/>
      <w:sz w:val="20"/>
      <w:szCs w:val="20"/>
      <w:lang w:val="zh-CN" w:eastAsia="zh-CN" w:bidi="zh-CN"/>
    </w:rPr>
  </w:style>
  <w:style w:type="paragraph" w:styleId="15">
    <w:name w:val="toc 6"/>
    <w:basedOn w:val="1"/>
    <w:next w:val="1"/>
    <w:qFormat/>
    <w:uiPriority w:val="1"/>
    <w:pPr>
      <w:spacing w:before="287"/>
      <w:ind w:left="1183"/>
      <w:jc w:val="center"/>
    </w:pPr>
    <w:rPr>
      <w:rFonts w:ascii="华文中宋" w:hAnsi="华文中宋" w:eastAsia="华文中宋" w:cs="华文中宋"/>
      <w:sz w:val="28"/>
      <w:szCs w:val="28"/>
      <w:lang w:val="zh-CN" w:eastAsia="zh-CN" w:bidi="zh-CN"/>
    </w:rPr>
  </w:style>
  <w:style w:type="paragraph" w:styleId="16">
    <w:name w:val="toc 2"/>
    <w:basedOn w:val="1"/>
    <w:next w:val="1"/>
    <w:qFormat/>
    <w:uiPriority w:val="1"/>
    <w:pPr>
      <w:spacing w:before="44"/>
      <w:ind w:left="526"/>
    </w:pPr>
    <w:rPr>
      <w:rFonts w:ascii="宋体" w:hAnsi="宋体" w:eastAsia="宋体" w:cs="宋体"/>
      <w:sz w:val="20"/>
      <w:szCs w:val="20"/>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053" w:firstLine="380"/>
      <w:jc w:val="both"/>
    </w:pPr>
    <w:rPr>
      <w:rFonts w:ascii="方正书宋_GBK" w:hAnsi="方正书宋_GBK" w:eastAsia="方正书宋_GBK" w:cs="方正书宋_GBK"/>
      <w:lang w:val="zh-CN" w:eastAsia="zh-CN" w:bidi="zh-CN"/>
    </w:rPr>
  </w:style>
  <w:style w:type="paragraph" w:customStyle="1" w:styleId="21">
    <w:name w:val="Table Paragraph"/>
    <w:basedOn w:val="1"/>
    <w:qFormat/>
    <w:uiPriority w:val="1"/>
    <w:pPr>
      <w:spacing w:before="22"/>
    </w:pPr>
    <w:rPr>
      <w:rFonts w:ascii="方正书宋_GBK" w:hAnsi="方正书宋_GBK" w:eastAsia="方正书宋_GBK" w:cs="方正书宋_GBK"/>
      <w:lang w:val="zh-CN" w:eastAsia="zh-CN" w:bidi="zh-CN"/>
    </w:rPr>
  </w:style>
  <w:style w:type="character" w:customStyle="1" w:styleId="22">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7403</Words>
  <Characters>8220</Characters>
  <TotalTime>0</TotalTime>
  <ScaleCrop>false</ScaleCrop>
  <LinksUpToDate>false</LinksUpToDate>
  <CharactersWithSpaces>8945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2024-01-22T19:39:00Z</dcterms:created>
  <dc:creator>Administrator</dc:creator>
  <cp:lastModifiedBy>东周</cp:lastModifiedBy>
  <dcterms:modified xsi:type="dcterms:W3CDTF">2025-02-14T07:17:19Z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Adobe InDesign CC 13.0 (Windows)</vt:lpwstr>
  </property>
  <property fmtid="{D5CDD505-2E9C-101B-9397-08002B2CF9AE}" pid="4" name="LastSaved">
    <vt:filetime>2024-01-22T00:00:00Z</vt:filetime>
  </property>
  <property fmtid="{D5CDD505-2E9C-101B-9397-08002B2CF9AE}" pid="5" name="KSOProductBuildVer">
    <vt:lpwstr>2052-12.1.0.19770</vt:lpwstr>
  </property>
  <property fmtid="{D5CDD505-2E9C-101B-9397-08002B2CF9AE}" pid="6" name="ICV">
    <vt:lpwstr>19291092F68C4690AC1B0E17EFFFCC9D_13</vt:lpwstr>
  </property>
  <property fmtid="{D5CDD505-2E9C-101B-9397-08002B2CF9AE}" pid="7" name="KSOTemplateDocerSaveRecord">
    <vt:lpwstr>eyJoZGlkIjoiYzc0MGQzMmEyM2EzY2RhZDZlMzFhM2E0NzRiNjBlODAiLCJ1c2VySWQiOiIzNTYwNTU4NDAifQ==</vt:lpwstr>
  </property>
</Properties>
</file>